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F21" w14:textId="527040C6" w:rsidR="0010042E" w:rsidRPr="0010042E" w:rsidRDefault="0010042E" w:rsidP="0010042E">
      <w:pPr>
        <w:jc w:val="center"/>
        <w:rPr>
          <w:b/>
          <w:bCs/>
          <w:lang w:val="sr-Latn-RS"/>
        </w:rPr>
      </w:pPr>
      <w:r w:rsidRPr="0010042E">
        <w:rPr>
          <w:b/>
          <w:bCs/>
          <w:lang w:val="sr-Latn-RS"/>
        </w:rPr>
        <w:t>PITANJA IZ PREDMETA TEORIJA I POLITIKA BILANSA</w:t>
      </w:r>
    </w:p>
    <w:p w14:paraId="2DF7FE13" w14:textId="6E700942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>Kvalitativne karakteristike finansijskih izvještaja</w:t>
      </w:r>
      <w:r w:rsidRPr="0010042E">
        <w:rPr>
          <w:lang w:val="sr-Latn-RS"/>
        </w:rPr>
        <w:t xml:space="preserve"> – fundametnalne kvalitativne karakteristike</w:t>
      </w:r>
    </w:p>
    <w:p w14:paraId="31ECB542" w14:textId="0804F5D9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 xml:space="preserve">Kvalitativne karakteristike finansijskih izvještaja – </w:t>
      </w:r>
      <w:r w:rsidRPr="0010042E">
        <w:rPr>
          <w:lang w:val="sr-Latn-RS"/>
        </w:rPr>
        <w:t>unapređujuće</w:t>
      </w:r>
      <w:r w:rsidRPr="0010042E">
        <w:rPr>
          <w:lang w:val="sr-Latn-RS"/>
        </w:rPr>
        <w:t xml:space="preserve"> kvalitativne karakteristike</w:t>
      </w:r>
    </w:p>
    <w:p w14:paraId="4BB8EB94" w14:textId="41DCA84B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 xml:space="preserve">Teorije, doktrine računovodstva i konceptualni okvir </w:t>
      </w:r>
    </w:p>
    <w:p w14:paraId="10326256" w14:textId="1D964242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 xml:space="preserve">Standardizacija finansijskog izvještavanja </w:t>
      </w:r>
    </w:p>
    <w:p w14:paraId="58F3E0D5" w14:textId="0E0375F6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>Obračunska i gotovinska osnova računovodstva</w:t>
      </w:r>
    </w:p>
    <w:p w14:paraId="1F053495" w14:textId="7CD37B71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 xml:space="preserve">Definisanje i priznavanje elemenata finansijskih izvještaja </w:t>
      </w:r>
      <w:r w:rsidRPr="0010042E">
        <w:rPr>
          <w:lang w:val="sr-Latn-RS"/>
        </w:rPr>
        <w:t>– sredstva, obaveze i kapital</w:t>
      </w:r>
    </w:p>
    <w:p w14:paraId="3FD5433A" w14:textId="50564942" w:rsidR="0010042E" w:rsidRP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10042E">
        <w:rPr>
          <w:lang w:val="sr-Latn-RS"/>
        </w:rPr>
        <w:t xml:space="preserve">Definisanje i priznavanje elemenata finansijskih izvještaja – </w:t>
      </w:r>
      <w:r w:rsidRPr="0010042E">
        <w:rPr>
          <w:lang w:val="sr-Latn-RS"/>
        </w:rPr>
        <w:t>prihodi i rashodi</w:t>
      </w:r>
    </w:p>
    <w:p w14:paraId="14229A26" w14:textId="4B589BB8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Osnove vrednovanja</w:t>
      </w:r>
    </w:p>
    <w:p w14:paraId="215ACA85" w14:textId="354BDC1B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Koncepti očuvanja kapitala</w:t>
      </w:r>
    </w:p>
    <w:p w14:paraId="3A47CBBB" w14:textId="0F1DFB4E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Istorijska i fer vrijednost kao osnove vrednovanja</w:t>
      </w:r>
    </w:p>
    <w:p w14:paraId="0C3E8ED8" w14:textId="3CE22E3F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Ekonosmka i računovodstvena dobit</w:t>
      </w:r>
    </w:p>
    <w:p w14:paraId="2883E96E" w14:textId="1C3BFB9B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C66CCC">
        <w:rPr>
          <w:lang w:val="sr-Latn-RS"/>
        </w:rPr>
        <w:t>Osnovni pojmovi poslovnog računovodstva</w:t>
      </w:r>
    </w:p>
    <w:p w14:paraId="177F5FB2" w14:textId="77777777" w:rsidR="00C66CCC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C66CCC">
        <w:rPr>
          <w:lang w:val="sr-Latn-RS"/>
        </w:rPr>
        <w:t xml:space="preserve">Pojam i klasifikacija načela </w:t>
      </w:r>
    </w:p>
    <w:p w14:paraId="67470A60" w14:textId="5F0D2A22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C66CCC">
        <w:rPr>
          <w:lang w:val="sr-Latn-RS"/>
        </w:rPr>
        <w:t xml:space="preserve">Načela urednog knjigovodstva </w:t>
      </w:r>
    </w:p>
    <w:p w14:paraId="2B65FC3D" w14:textId="362DC7E2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C66CCC">
        <w:rPr>
          <w:lang w:val="sr-Latn-RS"/>
        </w:rPr>
        <w:t xml:space="preserve">Načela inventarisanja </w:t>
      </w:r>
    </w:p>
    <w:p w14:paraId="155A0245" w14:textId="232D47F5" w:rsidR="00C66CCC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Načelo opreznosti i načelo realizacije</w:t>
      </w:r>
    </w:p>
    <w:p w14:paraId="1B2E5900" w14:textId="520D7572" w:rsidR="00C66CCC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Načelo impariteta</w:t>
      </w:r>
    </w:p>
    <w:p w14:paraId="695F7C3D" w14:textId="701BEA3D" w:rsidR="00C66CCC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Going concern princip i načelo bilansnog identiteta</w:t>
      </w:r>
    </w:p>
    <w:p w14:paraId="79F60E4F" w14:textId="5C88AD61" w:rsidR="00C66CCC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Načelo jasnosti i načelo dosljednosti</w:t>
      </w:r>
    </w:p>
    <w:p w14:paraId="02703F4E" w14:textId="14294DB3" w:rsidR="00C66CCC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Načelo istinitosti</w:t>
      </w:r>
    </w:p>
    <w:p w14:paraId="0F968580" w14:textId="4D79030A" w:rsidR="00C66CCC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Načelo pojedinačnog vrdnovanja i načelo razgraničenja</w:t>
      </w:r>
    </w:p>
    <w:p w14:paraId="53464185" w14:textId="02D325E4" w:rsidR="0010042E" w:rsidRDefault="00C66CCC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Inicijalno vrednovanje </w:t>
      </w:r>
      <w:r w:rsidR="0010042E" w:rsidRPr="00A67C00">
        <w:rPr>
          <w:lang w:val="sr-Latn-RS"/>
        </w:rPr>
        <w:t xml:space="preserve">dugoročne materijalne imovine </w:t>
      </w:r>
    </w:p>
    <w:p w14:paraId="18C94B2C" w14:textId="77777777" w:rsidR="00A67C00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Otpisivanje dugoročne imovine </w:t>
      </w:r>
    </w:p>
    <w:p w14:paraId="132D7D11" w14:textId="443AD4CD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>Naknadno vrednovanje dugoročne imovine</w:t>
      </w:r>
    </w:p>
    <w:p w14:paraId="5323BDC8" w14:textId="65B27DB1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Imovina uzeta u zakup </w:t>
      </w:r>
    </w:p>
    <w:p w14:paraId="4957580B" w14:textId="7BC0156A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Karakteristike i oblici nematerijalne imovine </w:t>
      </w:r>
    </w:p>
    <w:p w14:paraId="4B1367A1" w14:textId="77777777" w:rsidR="00A67C00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Inicijalno priznavanje nematerijalne imovine </w:t>
      </w:r>
    </w:p>
    <w:p w14:paraId="4E617AB1" w14:textId="3FDA8AAA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Naknadno vrednovanje nematerijalne imovine </w:t>
      </w:r>
    </w:p>
    <w:p w14:paraId="77C4CF76" w14:textId="42924E85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>Definisanje</w:t>
      </w:r>
      <w:r w:rsidR="00A67C00">
        <w:rPr>
          <w:lang w:val="sr-Latn-RS"/>
        </w:rPr>
        <w:t>,</w:t>
      </w:r>
      <w:r w:rsidRPr="00A67C00">
        <w:rPr>
          <w:lang w:val="sr-Latn-RS"/>
        </w:rPr>
        <w:t xml:space="preserve"> klasifikovanje </w:t>
      </w:r>
      <w:r w:rsidR="00A67C00">
        <w:rPr>
          <w:lang w:val="sr-Latn-RS"/>
        </w:rPr>
        <w:t xml:space="preserve">i vrednovanje </w:t>
      </w:r>
      <w:r w:rsidRPr="00A67C00">
        <w:rPr>
          <w:lang w:val="sr-Latn-RS"/>
        </w:rPr>
        <w:t xml:space="preserve">zaliha </w:t>
      </w:r>
    </w:p>
    <w:p w14:paraId="2B05EF5E" w14:textId="1DBCBC9F" w:rsidR="00A67C00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Sistemi vođenja zaliha </w:t>
      </w:r>
      <w:r w:rsidR="00A67C00" w:rsidRPr="00A67C00">
        <w:rPr>
          <w:lang w:val="sr-Latn-RS"/>
        </w:rPr>
        <w:t xml:space="preserve">i </w:t>
      </w:r>
      <w:r w:rsidR="00A67C00">
        <w:rPr>
          <w:lang w:val="sr-Latn-RS"/>
        </w:rPr>
        <w:t>u</w:t>
      </w:r>
      <w:r w:rsidRPr="00A67C00">
        <w:rPr>
          <w:lang w:val="sr-Latn-RS"/>
        </w:rPr>
        <w:t xml:space="preserve">tvrđivanje visine troškova zaliha </w:t>
      </w:r>
    </w:p>
    <w:p w14:paraId="6C9CE093" w14:textId="1E7D9A07" w:rsidR="00A67C00" w:rsidRDefault="00D830D5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V</w:t>
      </w:r>
      <w:r w:rsidR="00A67C00">
        <w:rPr>
          <w:lang w:val="sr-Latn-RS"/>
        </w:rPr>
        <w:t xml:space="preserve">rednovanje </w:t>
      </w:r>
      <w:r>
        <w:rPr>
          <w:lang w:val="sr-Latn-RS"/>
        </w:rPr>
        <w:t>većinskih, značajnih, zajedničkih i ostalih ulaganja</w:t>
      </w:r>
    </w:p>
    <w:p w14:paraId="55E0F76A" w14:textId="4F61629C" w:rsidR="00A67C00" w:rsidRDefault="00A67C00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Poslovni modeli</w:t>
      </w:r>
    </w:p>
    <w:p w14:paraId="540EFB7A" w14:textId="42C05979" w:rsidR="00A67C00" w:rsidRDefault="00A67C00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Inicijalno i naknadno vrednovanje hartija od vrijednosti po fer vrijednosti kroz bilans uspjeha i po fer vrijednosti kroz ostali rezultat</w:t>
      </w:r>
    </w:p>
    <w:p w14:paraId="68354D0C" w14:textId="7D7E6049" w:rsidR="00A67C00" w:rsidRDefault="00A67C00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Inicijalno i naknadno vrednovanje hartija od vrijednosti po amortizovanom trošku</w:t>
      </w:r>
    </w:p>
    <w:p w14:paraId="553D4EEA" w14:textId="443318BE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Potraživanja </w:t>
      </w:r>
    </w:p>
    <w:p w14:paraId="04A6067A" w14:textId="77777777" w:rsidR="00D830D5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A67C00">
        <w:rPr>
          <w:lang w:val="sr-Latn-RS"/>
        </w:rPr>
        <w:t xml:space="preserve">Gotovina i gotovinski ekvivalenti </w:t>
      </w:r>
    </w:p>
    <w:p w14:paraId="012825F1" w14:textId="4182C844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Osnovni kapital </w:t>
      </w:r>
    </w:p>
    <w:p w14:paraId="7C44495E" w14:textId="06B06988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Promjenjive komponente kapitala </w:t>
      </w:r>
    </w:p>
    <w:p w14:paraId="56ED2CBC" w14:textId="6D3FA1B8" w:rsidR="0010042E" w:rsidRDefault="0010042E" w:rsidP="00D830D5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>Definisanje i klasifikacija obaveza</w:t>
      </w:r>
      <w:r w:rsidR="00D830D5" w:rsidRPr="00D830D5">
        <w:rPr>
          <w:lang w:val="sr-Latn-RS"/>
        </w:rPr>
        <w:t>, kratkoročne obaveze</w:t>
      </w:r>
    </w:p>
    <w:p w14:paraId="407948E4" w14:textId="14B616DA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Dugoročne obaveze </w:t>
      </w:r>
    </w:p>
    <w:p w14:paraId="07EE330A" w14:textId="23780ACC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Rezervisanja </w:t>
      </w:r>
    </w:p>
    <w:p w14:paraId="5828C2CD" w14:textId="0024E5BB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Pasivna vremenska razgraničenja </w:t>
      </w:r>
      <w:r w:rsidR="00D830D5">
        <w:rPr>
          <w:lang w:val="sr-Latn-RS"/>
        </w:rPr>
        <w:t>i potencijalne obaveze</w:t>
      </w:r>
    </w:p>
    <w:p w14:paraId="44325431" w14:textId="20BC4091" w:rsidR="00A67C00" w:rsidRDefault="00A67C00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lastRenderedPageBreak/>
        <w:t>Obaveze po osnovu lizinga</w:t>
      </w:r>
    </w:p>
    <w:p w14:paraId="4F4AF6AA" w14:textId="50039021" w:rsidR="00D830D5" w:rsidRPr="00D830D5" w:rsidRDefault="00D830D5" w:rsidP="00D830D5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Priznavanje prihoda iz ugovora s kupcima</w:t>
      </w:r>
    </w:p>
    <w:p w14:paraId="7105BE55" w14:textId="34396739" w:rsidR="00D830D5" w:rsidRDefault="00D830D5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Specifični slučajeci priznavanja prihoda</w:t>
      </w:r>
    </w:p>
    <w:p w14:paraId="3B10645D" w14:textId="42E3813F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>Priznavanje rashoda</w:t>
      </w:r>
    </w:p>
    <w:p w14:paraId="6C366C16" w14:textId="57A02B75" w:rsidR="0010042E" w:rsidRDefault="0010042E" w:rsidP="00D830D5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Prezentacija izvještaja o ukupnom rezultatu </w:t>
      </w:r>
      <w:r w:rsidR="00D830D5">
        <w:rPr>
          <w:lang w:val="sr-Latn-RS"/>
        </w:rPr>
        <w:t>i bilans uspjeha</w:t>
      </w:r>
    </w:p>
    <w:p w14:paraId="36B00B9C" w14:textId="6FCE1656" w:rsidR="00D830D5" w:rsidRDefault="00D830D5" w:rsidP="00D830D5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Metoda ukupnih troškova</w:t>
      </w:r>
    </w:p>
    <w:p w14:paraId="503BD874" w14:textId="5375975C" w:rsidR="00D830D5" w:rsidRDefault="00D830D5" w:rsidP="00D830D5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Metoda troškova prodatih učinaka</w:t>
      </w:r>
    </w:p>
    <w:p w14:paraId="11C205CF" w14:textId="4AD5205C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Izvještaj o ostalom ukupnom rezultatu </w:t>
      </w:r>
    </w:p>
    <w:p w14:paraId="18E73208" w14:textId="0A6BD4E6" w:rsidR="00D830D5" w:rsidRDefault="0010042E" w:rsidP="00D830D5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Zarada po akciji </w:t>
      </w:r>
    </w:p>
    <w:p w14:paraId="1FA27018" w14:textId="377746FE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Klasifikacija tokova gotovine </w:t>
      </w:r>
    </w:p>
    <w:p w14:paraId="7D71FD10" w14:textId="10421D74" w:rsidR="0010042E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bookmarkStart w:id="0" w:name="_Hlk186958754"/>
      <w:r w:rsidRPr="00D830D5">
        <w:rPr>
          <w:lang w:val="sr-Latn-RS"/>
        </w:rPr>
        <w:t xml:space="preserve">Metode sačinjavanja izvještaja o tokovima gotovine </w:t>
      </w:r>
      <w:r w:rsidR="00D830D5">
        <w:rPr>
          <w:lang w:val="sr-Latn-RS"/>
        </w:rPr>
        <w:t>– direktna metoda</w:t>
      </w:r>
    </w:p>
    <w:bookmarkEnd w:id="0"/>
    <w:p w14:paraId="04923E97" w14:textId="647D7925" w:rsidR="00D830D5" w:rsidRDefault="00D830D5" w:rsidP="00D830D5">
      <w:pPr>
        <w:pStyle w:val="ListParagraph"/>
        <w:numPr>
          <w:ilvl w:val="0"/>
          <w:numId w:val="1"/>
        </w:numPr>
        <w:rPr>
          <w:lang w:val="sr-Latn-RS"/>
        </w:rPr>
      </w:pPr>
      <w:r w:rsidRPr="00D830D5">
        <w:rPr>
          <w:lang w:val="sr-Latn-RS"/>
        </w:rPr>
        <w:t xml:space="preserve">Metode sačinjavanja izvještaja o tokovima gotovine – </w:t>
      </w:r>
      <w:r>
        <w:rPr>
          <w:lang w:val="sr-Latn-RS"/>
        </w:rPr>
        <w:t>in</w:t>
      </w:r>
      <w:r w:rsidRPr="00D830D5">
        <w:rPr>
          <w:lang w:val="sr-Latn-RS"/>
        </w:rPr>
        <w:t>direktna metoda</w:t>
      </w:r>
    </w:p>
    <w:p w14:paraId="6624CEB1" w14:textId="2EF18E69" w:rsidR="0010042E" w:rsidRDefault="00C332A5" w:rsidP="001004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I</w:t>
      </w:r>
      <w:r w:rsidR="0010042E" w:rsidRPr="00C332A5">
        <w:rPr>
          <w:lang w:val="sr-Latn-RS"/>
        </w:rPr>
        <w:t xml:space="preserve">zvještaja o promjenama na kapitalu </w:t>
      </w:r>
    </w:p>
    <w:p w14:paraId="2D1A3E3C" w14:textId="423E38E1" w:rsidR="0010042E" w:rsidRPr="00C332A5" w:rsidRDefault="0010042E" w:rsidP="0010042E">
      <w:pPr>
        <w:pStyle w:val="ListParagraph"/>
        <w:numPr>
          <w:ilvl w:val="0"/>
          <w:numId w:val="1"/>
        </w:numPr>
        <w:rPr>
          <w:lang w:val="sr-Latn-RS"/>
        </w:rPr>
      </w:pPr>
      <w:r w:rsidRPr="00C332A5">
        <w:rPr>
          <w:lang w:val="sr-Latn-RS"/>
        </w:rPr>
        <w:t xml:space="preserve">Napomene uz finansijske izvještaje </w:t>
      </w:r>
    </w:p>
    <w:p w14:paraId="275032FE" w14:textId="6818E082" w:rsidR="0010042E" w:rsidRPr="0010042E" w:rsidRDefault="0010042E" w:rsidP="0010042E">
      <w:pPr>
        <w:rPr>
          <w:lang w:val="sr-Latn-RS"/>
        </w:rPr>
      </w:pPr>
    </w:p>
    <w:sectPr w:rsidR="0010042E" w:rsidRPr="00100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C7B03"/>
    <w:multiLevelType w:val="hybridMultilevel"/>
    <w:tmpl w:val="CB066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F79A7"/>
    <w:multiLevelType w:val="hybridMultilevel"/>
    <w:tmpl w:val="ECD07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2E"/>
    <w:rsid w:val="0010042E"/>
    <w:rsid w:val="00A67C00"/>
    <w:rsid w:val="00C332A5"/>
    <w:rsid w:val="00C66CCC"/>
    <w:rsid w:val="00D830D5"/>
    <w:rsid w:val="00E5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EFED2"/>
  <w15:chartTrackingRefBased/>
  <w15:docId w15:val="{FA25CAEC-33B2-451F-9735-C420DF59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jelena.poljasevic@outlook.com</dc:creator>
  <cp:keywords/>
  <dc:description/>
  <cp:lastModifiedBy>jelena.poljasevic@outlook.com</cp:lastModifiedBy>
  <cp:revision>2</cp:revision>
  <dcterms:created xsi:type="dcterms:W3CDTF">2025-01-05T07:06:00Z</dcterms:created>
  <dcterms:modified xsi:type="dcterms:W3CDTF">2025-01-05T07:40:00Z</dcterms:modified>
</cp:coreProperties>
</file>