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B713B" w14:textId="2B58C9E6" w:rsidR="000B5C3A" w:rsidRPr="00920BFE" w:rsidRDefault="00BA1F04">
      <w:pPr>
        <w:rPr>
          <w:rFonts w:ascii="Times New Roman" w:hAnsi="Times New Roman" w:cs="Times New Roman"/>
          <w:lang w:val="sr-Cyrl-BA"/>
        </w:rPr>
      </w:pPr>
      <w:r w:rsidRPr="00920BFE">
        <w:rPr>
          <w:rFonts w:ascii="Times New Roman" w:hAnsi="Times New Roman" w:cs="Times New Roman"/>
          <w:lang w:val="sr-Cyrl-BA"/>
        </w:rPr>
        <w:t>Испитна питања – Међународни монетарни систем-Проф. др Драган Глигорић</w:t>
      </w:r>
    </w:p>
    <w:p w14:paraId="4547E2DA" w14:textId="079F8116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Појам девизног тржишта и инструменти</w:t>
      </w:r>
    </w:p>
    <w:p w14:paraId="71D698AA" w14:textId="494825A7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Детерминанте нивоа девизних курсева – платнобилансна теорија и теорија паритета куповних снага</w:t>
      </w:r>
    </w:p>
    <w:p w14:paraId="50AB98EF" w14:textId="0091AB18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Детерминанте нивоа девизних курсева – монетарна теорија</w:t>
      </w:r>
    </w:p>
    <w:p w14:paraId="6216E74F" w14:textId="49B00A39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Детерминанте нивоа девизних курсева – премашивање девизног курса</w:t>
      </w:r>
    </w:p>
    <w:p w14:paraId="23B49D6A" w14:textId="07EEBB57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Детерминанте нивоа девизних курсева – портфолио теорија</w:t>
      </w:r>
    </w:p>
    <w:p w14:paraId="6307AB92" w14:textId="52799FFA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proofErr w:type="spellStart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De</w:t>
      </w:r>
      <w:proofErr w:type="spellEnd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 xml:space="preserve"> </w:t>
      </w:r>
      <w:proofErr w:type="spellStart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jure</w:t>
      </w:r>
      <w:proofErr w:type="spellEnd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 xml:space="preserve"> и </w:t>
      </w:r>
      <w:proofErr w:type="spellStart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de</w:t>
      </w:r>
      <w:proofErr w:type="spellEnd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 xml:space="preserve"> </w:t>
      </w:r>
      <w:proofErr w:type="spellStart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facto</w:t>
      </w:r>
      <w:proofErr w:type="spellEnd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 xml:space="preserve"> режими девизних курсева</w:t>
      </w:r>
    </w:p>
    <w:p w14:paraId="384DE57E" w14:textId="4594EDDB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Режими девизних курсева према класификацији ММФ-а</w:t>
      </w:r>
    </w:p>
    <w:p w14:paraId="1F69EA5E" w14:textId="48A135C8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Монетарна унија</w:t>
      </w:r>
    </w:p>
    <w:p w14:paraId="3D50D896" w14:textId="0FC346D1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proofErr w:type="spellStart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Доларизација</w:t>
      </w:r>
      <w:proofErr w:type="spellEnd"/>
    </w:p>
    <w:p w14:paraId="6191D46C" w14:textId="372047E0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Валутни одбор</w:t>
      </w:r>
    </w:p>
    <w:p w14:paraId="328F1C96" w14:textId="3CE6B743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Меки фиксни режими девизног курса</w:t>
      </w:r>
    </w:p>
    <w:p w14:paraId="374868CE" w14:textId="26AC20C0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Флуктуирајући режими девизног курса</w:t>
      </w:r>
    </w:p>
    <w:p w14:paraId="6FE97728" w14:textId="7429DA39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proofErr w:type="spellStart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Савремене</w:t>
      </w:r>
      <w:proofErr w:type="spellEnd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 xml:space="preserve"> тенденције у избору режима девизног курса</w:t>
      </w:r>
    </w:p>
    <w:p w14:paraId="6A8D2EF1" w14:textId="631AF398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Избор монетарног сидра</w:t>
      </w:r>
    </w:p>
    <w:p w14:paraId="454EC5AB" w14:textId="076E7916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Девизне резерве у свијету</w:t>
      </w:r>
    </w:p>
    <w:p w14:paraId="7A01FD18" w14:textId="2E79877F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Теорија оптималног валутног подручја у избору режима девизног курса</w:t>
      </w:r>
    </w:p>
    <w:p w14:paraId="395788F7" w14:textId="2A8E9E84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Финансијско гледиште у избору режима девизног курса</w:t>
      </w:r>
    </w:p>
    <w:p w14:paraId="6E2E4052" w14:textId="6E998555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Политичко гледиште у избору режима девизног курса</w:t>
      </w:r>
    </w:p>
    <w:p w14:paraId="7F668CC3" w14:textId="06E83B5E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 xml:space="preserve">Монетарна унија – </w:t>
      </w:r>
      <w:proofErr w:type="spellStart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предности</w:t>
      </w:r>
      <w:proofErr w:type="spellEnd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, недостаци и искуства у примјени</w:t>
      </w:r>
    </w:p>
    <w:p w14:paraId="1C33022A" w14:textId="4DB9AD1C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proofErr w:type="spellStart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Доларизација</w:t>
      </w:r>
      <w:proofErr w:type="spellEnd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 xml:space="preserve"> – </w:t>
      </w:r>
      <w:proofErr w:type="spellStart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предности</w:t>
      </w:r>
      <w:proofErr w:type="spellEnd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, недостаци и искуства у примјени</w:t>
      </w:r>
    </w:p>
    <w:p w14:paraId="6BE6B955" w14:textId="1B403338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 xml:space="preserve">Валутни одбор – </w:t>
      </w:r>
      <w:proofErr w:type="spellStart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предности</w:t>
      </w:r>
      <w:proofErr w:type="spellEnd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, недостаци и искуства у примјени</w:t>
      </w:r>
    </w:p>
    <w:p w14:paraId="0D60D4F0" w14:textId="38318782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Поређење чврстих фиксних режима девизног курса</w:t>
      </w:r>
    </w:p>
    <w:p w14:paraId="56D5B3C2" w14:textId="2838116B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proofErr w:type="spellStart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Предности</w:t>
      </w:r>
      <w:proofErr w:type="spellEnd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, недостаци и искуства у примјени меких фиксних режима</w:t>
      </w:r>
    </w:p>
    <w:p w14:paraId="5F5DF8A2" w14:textId="22521471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Биполарно гледиште у избору режима девизног курса</w:t>
      </w:r>
    </w:p>
    <w:p w14:paraId="331852EB" w14:textId="27DFC881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proofErr w:type="spellStart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Предности</w:t>
      </w:r>
      <w:proofErr w:type="spellEnd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, недостаци и искуства у примјени флуктуирајућих режима</w:t>
      </w:r>
    </w:p>
    <w:p w14:paraId="4731C2B5" w14:textId="306F95A7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Утицај избора режима девизног курса на економски раст, инфлацију и платни биланс</w:t>
      </w:r>
    </w:p>
    <w:p w14:paraId="5B078294" w14:textId="542A74F4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Појам платног биланса и међународних извјештаја</w:t>
      </w:r>
    </w:p>
    <w:p w14:paraId="4A294606" w14:textId="219F29AD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Парцијална анализа платног биланса</w:t>
      </w:r>
    </w:p>
    <w:p w14:paraId="2C70415A" w14:textId="4CB0FD66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Класични механизам прилагођавања платног биланса</w:t>
      </w:r>
    </w:p>
    <w:p w14:paraId="6987E61F" w14:textId="4BE43304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proofErr w:type="spellStart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Доходовни</w:t>
      </w:r>
      <w:proofErr w:type="spellEnd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 xml:space="preserve"> механизам прилагођавања платног биланса</w:t>
      </w:r>
    </w:p>
    <w:p w14:paraId="1D941798" w14:textId="1FF92BCC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proofErr w:type="spellStart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Апсорпциони</w:t>
      </w:r>
      <w:proofErr w:type="spellEnd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 xml:space="preserve"> механизам прилагођавања платног биланса</w:t>
      </w:r>
    </w:p>
    <w:p w14:paraId="5559DE03" w14:textId="77332999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Монетарна теорија прилагођавања платног биланса</w:t>
      </w:r>
    </w:p>
    <w:p w14:paraId="73A6F0FA" w14:textId="17C1DDD2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Политике прилагођавања платног биланса</w:t>
      </w:r>
    </w:p>
    <w:p w14:paraId="6677A97E" w14:textId="29D4AEA8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Финансирање или прилагођавање платног биланса</w:t>
      </w:r>
    </w:p>
    <w:p w14:paraId="17AE3E96" w14:textId="0932C379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proofErr w:type="spellStart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Редистрибутивне</w:t>
      </w:r>
      <w:proofErr w:type="spellEnd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 xml:space="preserve"> мјере прилагођавања платног биланса</w:t>
      </w:r>
    </w:p>
    <w:p w14:paraId="12A3C4FB" w14:textId="15980567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proofErr w:type="spellStart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Еластицитетни</w:t>
      </w:r>
      <w:proofErr w:type="spellEnd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 xml:space="preserve"> приступ прилагођавању платног биланса</w:t>
      </w:r>
    </w:p>
    <w:p w14:paraId="2FC88569" w14:textId="16EA3106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Трансмисиони механизам девизног курса</w:t>
      </w:r>
    </w:p>
    <w:p w14:paraId="3AB2D7C6" w14:textId="1EFF570F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Ефекат „Ј“ криве</w:t>
      </w:r>
    </w:p>
    <w:p w14:paraId="7A0C9D78" w14:textId="21A0ACC7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Девизна ограничења</w:t>
      </w:r>
    </w:p>
    <w:p w14:paraId="5101FCEE" w14:textId="7561293F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Монетарна политика у режиму фиксног и флуктуирајућег девизног курса</w:t>
      </w:r>
    </w:p>
    <w:p w14:paraId="54510582" w14:textId="4C572C81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Фискална политика у режиму фиксног и флуктуирајућег девизног курса</w:t>
      </w:r>
    </w:p>
    <w:p w14:paraId="434D3E44" w14:textId="472A1319" w:rsidR="00920BFE" w:rsidRPr="00920BFE" w:rsidRDefault="00920BFE" w:rsidP="00920BF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Детерминанте спољне равнотеже</w:t>
      </w:r>
    </w:p>
    <w:p w14:paraId="3C077414" w14:textId="694730D8" w:rsidR="00920BFE" w:rsidRPr="00920BFE" w:rsidRDefault="00920BFE" w:rsidP="00920BFE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:lang w:val="sr-Cyrl-BA"/>
          <w14:ligatures w14:val="none"/>
        </w:rPr>
      </w:pPr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 xml:space="preserve">Глобални </w:t>
      </w:r>
      <w:proofErr w:type="spellStart"/>
      <w:r w:rsidRPr="00920BFE">
        <w:rPr>
          <w:rFonts w:ascii="Times New Roman" w:eastAsia="Times New Roman" w:hAnsi="Times New Roman" w:cs="Times New Roman"/>
          <w:kern w:val="0"/>
          <w:lang w:val="sr-Cyrl-BA"/>
          <w14:ligatures w14:val="none"/>
        </w:rPr>
        <w:t>дебаланси</w:t>
      </w:r>
      <w:proofErr w:type="spellEnd"/>
    </w:p>
    <w:p w14:paraId="6ED28075" w14:textId="3BD4E93C" w:rsidR="00440BF6" w:rsidRPr="00920BFE" w:rsidRDefault="00440BF6" w:rsidP="00920BFE">
      <w:pPr>
        <w:rPr>
          <w:rFonts w:ascii="Times New Roman" w:hAnsi="Times New Roman" w:cs="Times New Roman"/>
          <w:lang w:val="sr-Cyrl-BA"/>
        </w:rPr>
      </w:pPr>
      <w:r w:rsidRPr="00920BFE">
        <w:rPr>
          <w:rFonts w:ascii="Times New Roman" w:hAnsi="Times New Roman" w:cs="Times New Roman"/>
          <w:lang w:val="sr-Cyrl-BA"/>
        </w:rPr>
        <w:lastRenderedPageBreak/>
        <w:t>Литература:</w:t>
      </w:r>
    </w:p>
    <w:p w14:paraId="2ACDC462" w14:textId="53D5E6BD" w:rsidR="00677B63" w:rsidRPr="00920BFE" w:rsidRDefault="00677B63" w:rsidP="00440BF6">
      <w:pPr>
        <w:rPr>
          <w:rFonts w:ascii="Times New Roman" w:hAnsi="Times New Roman" w:cs="Times New Roman"/>
          <w:lang w:val="sr-Cyrl-BA"/>
        </w:rPr>
      </w:pPr>
      <w:r w:rsidRPr="00920BFE">
        <w:rPr>
          <w:rFonts w:ascii="Times New Roman" w:hAnsi="Times New Roman" w:cs="Times New Roman"/>
          <w:lang w:val="sr-Cyrl-BA"/>
        </w:rPr>
        <w:t>Основна</w:t>
      </w:r>
    </w:p>
    <w:p w14:paraId="6B4AB527" w14:textId="14C27C7A" w:rsidR="00440BF6" w:rsidRPr="00920BFE" w:rsidRDefault="00440BF6" w:rsidP="00440BF6">
      <w:pPr>
        <w:numPr>
          <w:ilvl w:val="1"/>
          <w:numId w:val="2"/>
        </w:numPr>
        <w:tabs>
          <w:tab w:val="clear" w:pos="1440"/>
        </w:tabs>
        <w:spacing w:after="0" w:line="216" w:lineRule="auto"/>
        <w:ind w:left="540" w:hanging="450"/>
        <w:contextualSpacing/>
        <w:rPr>
          <w:rFonts w:ascii="Times New Roman" w:eastAsia="Times New Roman" w:hAnsi="Times New Roman" w:cs="Times New Roman"/>
          <w:color w:val="9E3611"/>
          <w:kern w:val="0"/>
          <w:lang w:val="sr-Cyrl-BA"/>
          <w14:ligatures w14:val="none"/>
        </w:rPr>
      </w:pPr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Gligorić, D. i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Vujanić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V.(2021).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Režimi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deviznih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kurseva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i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spoljna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ravnoteža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tranzicionih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zemalja</w:t>
      </w:r>
      <w:r w:rsidR="00031B56"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.Banja</w:t>
      </w:r>
      <w:proofErr w:type="spellEnd"/>
      <w:r w:rsidR="00031B56"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="00031B56"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Luka</w:t>
      </w:r>
      <w:proofErr w:type="spellEnd"/>
      <w:r w:rsidR="00031B56"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: </w:t>
      </w:r>
      <w:proofErr w:type="spellStart"/>
      <w:r w:rsidR="00031B56"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Univerzitet</w:t>
      </w:r>
      <w:proofErr w:type="spellEnd"/>
      <w:r w:rsidR="00031B56"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u </w:t>
      </w:r>
      <w:proofErr w:type="spellStart"/>
      <w:r w:rsidR="00031B56"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B</w:t>
      </w:r>
      <w:r w:rsidR="001F4C02"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anj</w:t>
      </w:r>
      <w:r w:rsidR="00031B56"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oj</w:t>
      </w:r>
      <w:proofErr w:type="spellEnd"/>
      <w:r w:rsidR="00031B56"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="00031B56"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Luci</w:t>
      </w:r>
      <w:proofErr w:type="spellEnd"/>
      <w:r w:rsidR="00031B56"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, </w:t>
      </w:r>
      <w:proofErr w:type="spellStart"/>
      <w:r w:rsidR="00031B56"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Ekonomski</w:t>
      </w:r>
      <w:proofErr w:type="spellEnd"/>
      <w:r w:rsidR="00031B56"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="00031B56"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fakutlet</w:t>
      </w:r>
      <w:proofErr w:type="spellEnd"/>
      <w:r w:rsidR="001F4C02"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. (</w:t>
      </w:r>
      <w:proofErr w:type="spellStart"/>
      <w:r w:rsidR="001F4C02"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str</w:t>
      </w:r>
      <w:proofErr w:type="spellEnd"/>
      <w:r w:rsidR="001F4C02"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. 15-168)</w:t>
      </w:r>
    </w:p>
    <w:p w14:paraId="41A665F6" w14:textId="77777777" w:rsidR="00677B63" w:rsidRPr="00920BFE" w:rsidRDefault="00677B63" w:rsidP="00677B63">
      <w:pPr>
        <w:spacing w:after="0" w:line="216" w:lineRule="auto"/>
        <w:contextualSpacing/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</w:pPr>
    </w:p>
    <w:p w14:paraId="702B31D6" w14:textId="55F8B306" w:rsidR="00677B63" w:rsidRPr="00920BFE" w:rsidRDefault="00677B63" w:rsidP="00677B63">
      <w:pPr>
        <w:spacing w:after="0" w:line="216" w:lineRule="auto"/>
        <w:contextualSpacing/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</w:pPr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Додатна</w:t>
      </w:r>
    </w:p>
    <w:p w14:paraId="26EE8ED7" w14:textId="77777777" w:rsidR="00677B63" w:rsidRPr="00920BFE" w:rsidRDefault="00677B63" w:rsidP="00677B63">
      <w:pPr>
        <w:spacing w:after="0" w:line="216" w:lineRule="auto"/>
        <w:contextualSpacing/>
        <w:rPr>
          <w:rFonts w:ascii="Times New Roman" w:eastAsia="Times New Roman" w:hAnsi="Times New Roman" w:cs="Times New Roman"/>
          <w:color w:val="9E3611"/>
          <w:kern w:val="0"/>
          <w:lang w:val="sr-Cyrl-BA"/>
          <w14:ligatures w14:val="none"/>
        </w:rPr>
      </w:pPr>
    </w:p>
    <w:p w14:paraId="2C1499E5" w14:textId="77777777" w:rsidR="00440BF6" w:rsidRPr="00920BFE" w:rsidRDefault="00440BF6" w:rsidP="00440BF6">
      <w:pPr>
        <w:numPr>
          <w:ilvl w:val="1"/>
          <w:numId w:val="2"/>
        </w:numPr>
        <w:tabs>
          <w:tab w:val="clear" w:pos="1440"/>
        </w:tabs>
        <w:spacing w:after="0" w:line="216" w:lineRule="auto"/>
        <w:ind w:left="540" w:hanging="450"/>
        <w:contextualSpacing/>
        <w:rPr>
          <w:rFonts w:ascii="Times New Roman" w:eastAsia="Times New Roman" w:hAnsi="Times New Roman" w:cs="Times New Roman"/>
          <w:color w:val="9E3611"/>
          <w:kern w:val="0"/>
          <w:lang w:val="sr-Cyrl-BA"/>
          <w14:ligatures w14:val="none"/>
        </w:rPr>
      </w:pPr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N.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Janković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(2018).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Perspektive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međunarodnog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monetarnog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sistema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,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Ekonomski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horizonti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,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Ekonomski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fakultet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Kragujevac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.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Dostupno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na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hyperlink r:id="rId5" w:history="1">
        <w:r w:rsidRPr="00920BFE">
          <w:rPr>
            <w:rFonts w:ascii="Times New Roman" w:eastAsia="+mn-ea" w:hAnsi="Times New Roman" w:cs="Times New Roman"/>
            <w:color w:val="000000"/>
            <w:kern w:val="24"/>
            <w:u w:val="single"/>
            <w:lang w:val="sr-Cyrl-BA"/>
            <w14:ligatures w14:val="none"/>
          </w:rPr>
          <w:t>https://www.horizonti.ekfak.kg.ac.rs/sites/default/files/Casopis/2018_1/EH_2018_1_rs_Jankovic.pdf</w:t>
        </w:r>
      </w:hyperlink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</w:p>
    <w:p w14:paraId="2D60C26E" w14:textId="77777777" w:rsidR="00440BF6" w:rsidRPr="00920BFE" w:rsidRDefault="00440BF6" w:rsidP="00440BF6">
      <w:pPr>
        <w:numPr>
          <w:ilvl w:val="1"/>
          <w:numId w:val="2"/>
        </w:numPr>
        <w:tabs>
          <w:tab w:val="clear" w:pos="1440"/>
        </w:tabs>
        <w:spacing w:after="0" w:line="216" w:lineRule="auto"/>
        <w:ind w:left="540" w:hanging="450"/>
        <w:contextualSpacing/>
        <w:rPr>
          <w:rFonts w:ascii="Times New Roman" w:eastAsia="Times New Roman" w:hAnsi="Times New Roman" w:cs="Times New Roman"/>
          <w:color w:val="9E3611"/>
          <w:kern w:val="0"/>
          <w:lang w:val="sr-Cyrl-BA"/>
          <w14:ligatures w14:val="none"/>
        </w:rPr>
      </w:pPr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R.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Kovačević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(2015).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Karakteristike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i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savremeni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izazovi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međunarodnog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monetarnog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i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finansijskog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sistema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,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Bankarstvo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.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Dostupno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na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: </w:t>
      </w:r>
      <w:hyperlink r:id="rId6" w:history="1">
        <w:r w:rsidRPr="00920BFE">
          <w:rPr>
            <w:rFonts w:ascii="Times New Roman" w:eastAsia="+mn-ea" w:hAnsi="Times New Roman" w:cs="Times New Roman"/>
            <w:color w:val="000000"/>
            <w:kern w:val="24"/>
            <w:u w:val="single"/>
            <w:lang w:val="sr-Cyrl-BA"/>
            <w14:ligatures w14:val="none"/>
          </w:rPr>
          <w:t>https://scindeks.ceon.rs/article.aspx?artid=1451-43541504018K</w:t>
        </w:r>
      </w:hyperlink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</w:p>
    <w:p w14:paraId="740FC070" w14:textId="77777777" w:rsidR="00440BF6" w:rsidRPr="00920BFE" w:rsidRDefault="00440BF6" w:rsidP="00440BF6">
      <w:pPr>
        <w:numPr>
          <w:ilvl w:val="1"/>
          <w:numId w:val="2"/>
        </w:numPr>
        <w:tabs>
          <w:tab w:val="clear" w:pos="1440"/>
        </w:tabs>
        <w:spacing w:after="0" w:line="216" w:lineRule="auto"/>
        <w:ind w:left="540" w:hanging="450"/>
        <w:contextualSpacing/>
        <w:rPr>
          <w:rFonts w:ascii="Times New Roman" w:eastAsia="Times New Roman" w:hAnsi="Times New Roman" w:cs="Times New Roman"/>
          <w:color w:val="9E3611"/>
          <w:kern w:val="0"/>
          <w:lang w:val="sr-Cyrl-BA"/>
          <w14:ligatures w14:val="none"/>
        </w:rPr>
      </w:pPr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BIS.(2022).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Triennial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Central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Bank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Survey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.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Dostupno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na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: </w:t>
      </w:r>
      <w:hyperlink r:id="rId7" w:history="1">
        <w:r w:rsidRPr="00920BFE">
          <w:rPr>
            <w:rFonts w:ascii="Times New Roman" w:eastAsia="+mn-ea" w:hAnsi="Times New Roman" w:cs="Times New Roman"/>
            <w:color w:val="000000"/>
            <w:kern w:val="24"/>
            <w:u w:val="single"/>
            <w:lang w:val="sr-Cyrl-BA"/>
            <w14:ligatures w14:val="none"/>
          </w:rPr>
          <w:t>https://www.bis.org/statistics/rpfx22.htm</w:t>
        </w:r>
      </w:hyperlink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 </w:t>
      </w:r>
    </w:p>
    <w:p w14:paraId="12B01FA9" w14:textId="115C372F" w:rsidR="00031B56" w:rsidRPr="00920BFE" w:rsidRDefault="00440BF6" w:rsidP="00440BF6">
      <w:pPr>
        <w:numPr>
          <w:ilvl w:val="1"/>
          <w:numId w:val="2"/>
        </w:numPr>
        <w:tabs>
          <w:tab w:val="clear" w:pos="1440"/>
        </w:tabs>
        <w:spacing w:after="0" w:line="216" w:lineRule="auto"/>
        <w:ind w:left="540" w:hanging="450"/>
        <w:contextualSpacing/>
        <w:rPr>
          <w:rFonts w:ascii="Times New Roman" w:eastAsia="Times New Roman" w:hAnsi="Times New Roman" w:cs="Times New Roman"/>
          <w:color w:val="9E3611"/>
          <w:kern w:val="0"/>
          <w:lang w:val="sr-Cyrl-BA"/>
          <w14:ligatures w14:val="none"/>
        </w:rPr>
      </w:pPr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IMF (2023).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Godišnji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izvještaj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o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rezimima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deviznog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kursa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i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deviznim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ogrančenjima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, 202</w:t>
      </w:r>
      <w:r w:rsidR="000D3009"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3</w:t>
      </w:r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.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Dostupno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 </w:t>
      </w:r>
      <w:proofErr w:type="spellStart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>na</w:t>
      </w:r>
      <w:proofErr w:type="spellEnd"/>
      <w:r w:rsidRPr="00920BFE">
        <w:rPr>
          <w:rFonts w:ascii="Times New Roman" w:eastAsia="+mn-ea" w:hAnsi="Times New Roman" w:cs="Times New Roman"/>
          <w:color w:val="000000"/>
          <w:kern w:val="24"/>
          <w:lang w:val="sr-Cyrl-BA"/>
          <w14:ligatures w14:val="none"/>
        </w:rPr>
        <w:t xml:space="preserve">: </w:t>
      </w:r>
      <w:r w:rsidR="00031B56" w:rsidRPr="00920BFE">
        <w:rPr>
          <w:rFonts w:ascii="Times New Roman" w:hAnsi="Times New Roman" w:cs="Times New Roman"/>
          <w:lang w:val="sr-Cyrl-BA"/>
        </w:rPr>
        <w:t>https://www.imf.org/en/publications/annual-report-on-exchange-arrangements-and-exchange-restrictions/issues/2024/12/19/annual-report-on-exchange-arrangements-and-exchange-restrictions-2023-541890</w:t>
      </w:r>
    </w:p>
    <w:sectPr w:rsidR="00031B56" w:rsidRPr="00920B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B162C"/>
    <w:multiLevelType w:val="hybridMultilevel"/>
    <w:tmpl w:val="853822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AC5C90"/>
    <w:multiLevelType w:val="hybridMultilevel"/>
    <w:tmpl w:val="896ED7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343503"/>
    <w:multiLevelType w:val="hybridMultilevel"/>
    <w:tmpl w:val="DC7E62BA"/>
    <w:lvl w:ilvl="0" w:tplc="063C9A0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ECF86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2CFFD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6EF4C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BC99A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9D20F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3CAD7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ACC95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24CB2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9F3CC2"/>
    <w:multiLevelType w:val="hybridMultilevel"/>
    <w:tmpl w:val="79A8BD8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226730">
    <w:abstractNumId w:val="1"/>
  </w:num>
  <w:num w:numId="2" w16cid:durableId="405029061">
    <w:abstractNumId w:val="2"/>
  </w:num>
  <w:num w:numId="3" w16cid:durableId="1687517312">
    <w:abstractNumId w:val="0"/>
  </w:num>
  <w:num w:numId="4" w16cid:durableId="18554588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F04"/>
    <w:rsid w:val="00031B56"/>
    <w:rsid w:val="0003712D"/>
    <w:rsid w:val="000B5C3A"/>
    <w:rsid w:val="000D3009"/>
    <w:rsid w:val="00136311"/>
    <w:rsid w:val="0014129A"/>
    <w:rsid w:val="001F4C02"/>
    <w:rsid w:val="00203616"/>
    <w:rsid w:val="00236405"/>
    <w:rsid w:val="002923F9"/>
    <w:rsid w:val="002E38F5"/>
    <w:rsid w:val="0030283A"/>
    <w:rsid w:val="003D5A22"/>
    <w:rsid w:val="0041338C"/>
    <w:rsid w:val="004201DC"/>
    <w:rsid w:val="00440BF6"/>
    <w:rsid w:val="004B2EE8"/>
    <w:rsid w:val="004C19E5"/>
    <w:rsid w:val="00545F21"/>
    <w:rsid w:val="00677B63"/>
    <w:rsid w:val="0069417F"/>
    <w:rsid w:val="006F46A8"/>
    <w:rsid w:val="00723189"/>
    <w:rsid w:val="007E4066"/>
    <w:rsid w:val="00906878"/>
    <w:rsid w:val="00920BFE"/>
    <w:rsid w:val="009906A0"/>
    <w:rsid w:val="00AB5191"/>
    <w:rsid w:val="00AD621E"/>
    <w:rsid w:val="00B40247"/>
    <w:rsid w:val="00B97D4D"/>
    <w:rsid w:val="00BA1F04"/>
    <w:rsid w:val="00BB1135"/>
    <w:rsid w:val="00C96C41"/>
    <w:rsid w:val="00CB48C0"/>
    <w:rsid w:val="00CB571B"/>
    <w:rsid w:val="00D13FAF"/>
    <w:rsid w:val="00D80E22"/>
    <w:rsid w:val="00DA6FDA"/>
    <w:rsid w:val="00DD0A0D"/>
    <w:rsid w:val="00DE3526"/>
    <w:rsid w:val="00E74D4D"/>
    <w:rsid w:val="00F30497"/>
    <w:rsid w:val="00F67D0B"/>
    <w:rsid w:val="00F77E19"/>
    <w:rsid w:val="00FC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B9AD4"/>
  <w15:chartTrackingRefBased/>
  <w15:docId w15:val="{2A4AAA61-268B-440F-A630-F5D9D230E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1F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1F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1F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1F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1F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1F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1F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1F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1F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F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1F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1F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1F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1F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1F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1F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1F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1F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1F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1F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1F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1F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1F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1F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1F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1F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F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F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1F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is.org/statistics/rpfx22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indeks.ceon.rs/article.aspx?artid=1451-43541504018K" TargetMode="External"/><Relationship Id="rId5" Type="http://schemas.openxmlformats.org/officeDocument/2006/relationships/hyperlink" Target="https://www.horizonti.ekfak.kg.ac.rs/sites/default/files/Casopis/2018_1/EH_2018_1_rs_Jankovic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 G</dc:creator>
  <cp:keywords/>
  <dc:description/>
  <cp:lastModifiedBy>Dragan G</cp:lastModifiedBy>
  <cp:revision>18</cp:revision>
  <dcterms:created xsi:type="dcterms:W3CDTF">2026-08-25T06:30:00Z</dcterms:created>
  <dcterms:modified xsi:type="dcterms:W3CDTF">2026-08-25T07:12:00Z</dcterms:modified>
</cp:coreProperties>
</file>