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C07" w:rsidRDefault="004D3EE2" w:rsidP="001B6806">
      <w:pPr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ОРИЈЕНТАЦИОНА </w:t>
      </w:r>
      <w:r w:rsidR="001B6806">
        <w:rPr>
          <w:rFonts w:ascii="Times New Roman" w:hAnsi="Times New Roman" w:cs="Times New Roman"/>
          <w:sz w:val="24"/>
          <w:szCs w:val="24"/>
        </w:rPr>
        <w:t xml:space="preserve">ИСПИТНА ПИТАЊА </w:t>
      </w:r>
      <w:r w:rsidR="00ED2AD8">
        <w:rPr>
          <w:rFonts w:ascii="Times New Roman" w:hAnsi="Times New Roman" w:cs="Times New Roman"/>
          <w:sz w:val="24"/>
          <w:szCs w:val="24"/>
          <w:lang w:val="sr-Cyrl-BA"/>
        </w:rPr>
        <w:t xml:space="preserve">ИЗ ПРЕДМЕТА ЕКОНОМИКА ПРЕДУЗЕЋА </w:t>
      </w:r>
      <w:r w:rsidR="00A308E2">
        <w:rPr>
          <w:rFonts w:ascii="Times New Roman" w:hAnsi="Times New Roman" w:cs="Times New Roman"/>
          <w:sz w:val="24"/>
          <w:szCs w:val="24"/>
          <w:lang w:val="sr-Cyrl-BA"/>
        </w:rPr>
        <w:t>- АКАДЕМСКА 202</w:t>
      </w:r>
      <w:r w:rsidR="00257776">
        <w:rPr>
          <w:rFonts w:ascii="Times New Roman" w:hAnsi="Times New Roman" w:cs="Times New Roman"/>
          <w:sz w:val="24"/>
          <w:szCs w:val="24"/>
        </w:rPr>
        <w:t>6</w:t>
      </w:r>
      <w:r w:rsidR="00A308E2">
        <w:rPr>
          <w:rFonts w:ascii="Times New Roman" w:hAnsi="Times New Roman" w:cs="Times New Roman"/>
          <w:sz w:val="24"/>
          <w:szCs w:val="24"/>
          <w:lang w:val="sr-Cyrl-BA"/>
        </w:rPr>
        <w:t>/202</w:t>
      </w:r>
      <w:r w:rsidR="00257776">
        <w:rPr>
          <w:rFonts w:ascii="Times New Roman" w:hAnsi="Times New Roman" w:cs="Times New Roman"/>
          <w:sz w:val="24"/>
          <w:szCs w:val="24"/>
        </w:rPr>
        <w:t>7</w:t>
      </w:r>
      <w:r w:rsidR="00A308E2">
        <w:rPr>
          <w:rFonts w:ascii="Times New Roman" w:hAnsi="Times New Roman" w:cs="Times New Roman"/>
          <w:sz w:val="24"/>
          <w:szCs w:val="24"/>
          <w:lang w:val="sr-Cyrl-BA"/>
        </w:rPr>
        <w:t>. ГОДИНА</w:t>
      </w:r>
    </w:p>
    <w:bookmarkEnd w:id="0"/>
    <w:p w:rsidR="001B6806" w:rsidRDefault="001B6806" w:rsidP="001B6806">
      <w:pPr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B6806" w:rsidRPr="00A308E2" w:rsidRDefault="006144D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Појам и циљ предузећа</w:t>
      </w:r>
    </w:p>
    <w:p w:rsidR="006144DE" w:rsidRPr="00A308E2" w:rsidRDefault="006144D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Предузеће као систем</w:t>
      </w:r>
    </w:p>
    <w:p w:rsidR="006144DE" w:rsidRPr="00A308E2" w:rsidRDefault="006144D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Диференцирање предузећа према карактеристикама трансформацијског процеса</w:t>
      </w:r>
    </w:p>
    <w:p w:rsidR="006144DE" w:rsidRPr="00A308E2" w:rsidRDefault="006144D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Диференцирање предузећа према ве</w:t>
      </w:r>
      <w:r w:rsidR="00A308E2">
        <w:rPr>
          <w:rFonts w:ascii="Times New Roman" w:hAnsi="Times New Roman" w:cs="Times New Roman"/>
          <w:sz w:val="24"/>
          <w:szCs w:val="24"/>
          <w:lang w:val="sr-Cyrl-BA"/>
        </w:rPr>
        <w:t>ли</w:t>
      </w:r>
      <w:r w:rsidRPr="00A308E2">
        <w:rPr>
          <w:rFonts w:ascii="Times New Roman" w:hAnsi="Times New Roman" w:cs="Times New Roman"/>
          <w:sz w:val="24"/>
          <w:szCs w:val="24"/>
          <w:lang w:val="sr-Cyrl-BA"/>
        </w:rPr>
        <w:t>чини</w:t>
      </w:r>
    </w:p>
    <w:p w:rsidR="006144DE" w:rsidRPr="00A308E2" w:rsidRDefault="006144D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Диференцирање предузећа према власништву</w:t>
      </w:r>
    </w:p>
    <w:p w:rsidR="006144DE" w:rsidRPr="00A308E2" w:rsidRDefault="006144D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Диференцирање предузећа према правном облику</w:t>
      </w:r>
    </w:p>
    <w:p w:rsidR="006144DE" w:rsidRPr="00A308E2" w:rsidRDefault="00525FA0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Акционарско друштво и друштво са ограниченом одговорношћу</w:t>
      </w:r>
    </w:p>
    <w:p w:rsidR="00525FA0" w:rsidRPr="00A308E2" w:rsidRDefault="00525FA0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Појам економика предузећа. Економика предузећа као наука и њен историјски развој</w:t>
      </w:r>
    </w:p>
    <w:p w:rsidR="00525FA0" w:rsidRPr="00A308E2" w:rsidRDefault="00525FA0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Предмет и циљ економике предузећа</w:t>
      </w:r>
    </w:p>
    <w:p w:rsidR="00525FA0" w:rsidRPr="00A308E2" w:rsidRDefault="00525FA0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Појам репродукција. Улагања у процес репродукције</w:t>
      </w:r>
    </w:p>
    <w:p w:rsidR="00525FA0" w:rsidRPr="00A308E2" w:rsidRDefault="00525FA0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Резултати процеса репродукције и фактори који утичу на улагања и резултате процеса репродукције.</w:t>
      </w:r>
    </w:p>
    <w:p w:rsidR="00525FA0" w:rsidRPr="00A308E2" w:rsidRDefault="00724E8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Успјешности или вриједности предузећа. Процес стварања вриједности</w:t>
      </w:r>
    </w:p>
    <w:p w:rsidR="00724E89" w:rsidRPr="00A308E2" w:rsidRDefault="00724E8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Појам производња. Фактори производње</w:t>
      </w:r>
    </w:p>
    <w:p w:rsidR="00724E89" w:rsidRPr="00A308E2" w:rsidRDefault="00724E8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Основна средства. Вриједност основних средстава</w:t>
      </w:r>
    </w:p>
    <w:p w:rsidR="00724E89" w:rsidRPr="00A308E2" w:rsidRDefault="00724E8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Амортизација. Методе обрачуна амортизације.</w:t>
      </w:r>
    </w:p>
    <w:p w:rsidR="003C1BE4" w:rsidRPr="00A308E2" w:rsidRDefault="003C1BE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Временски начин обрачуна амортизације основних средстава</w:t>
      </w:r>
    </w:p>
    <w:p w:rsidR="003C1BE4" w:rsidRPr="00A308E2" w:rsidRDefault="003C1BE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Функционални начин обрачуна амортизације основних средстава</w:t>
      </w:r>
    </w:p>
    <w:p w:rsidR="00724E89" w:rsidRPr="00A308E2" w:rsidRDefault="00724E8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Капацитет средстава за рад и предузећа. Методе мјерења капацитета</w:t>
      </w:r>
    </w:p>
    <w:p w:rsidR="00724E89" w:rsidRPr="00A308E2" w:rsidRDefault="00724E8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Инвестиције. Критерији за доношење инвестиционих одлука</w:t>
      </w:r>
    </w:p>
    <w:p w:rsidR="00724E89" w:rsidRDefault="00724E8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Обртна средства.</w:t>
      </w:r>
    </w:p>
    <w:p w:rsidR="00257776" w:rsidRPr="00257776" w:rsidRDefault="00257776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Производња и врсте производног процеса.</w:t>
      </w:r>
    </w:p>
    <w:p w:rsidR="00741D87" w:rsidRDefault="00741D87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Производна функција. Облици производне функције</w:t>
      </w:r>
      <w:r w:rsidR="0071048D">
        <w:rPr>
          <w:rFonts w:ascii="Times New Roman" w:hAnsi="Times New Roman" w:cs="Times New Roman"/>
          <w:sz w:val="24"/>
          <w:szCs w:val="24"/>
          <w:lang w:val="sr-Cyrl-BA"/>
        </w:rPr>
        <w:t>. Врсте производних функција.</w:t>
      </w:r>
    </w:p>
    <w:p w:rsidR="00A308E2" w:rsidRDefault="00A308E2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Изокванта – појам и врсте</w:t>
      </w:r>
    </w:p>
    <w:p w:rsidR="00E66ADE" w:rsidRDefault="00E66AD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Супститутивност фактора производње и графички приказ</w:t>
      </w:r>
    </w:p>
    <w:p w:rsidR="00E66ADE" w:rsidRPr="00A308E2" w:rsidRDefault="00E66AD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Гранична стипа техничке супституције – различити начини дефинисања и тумачење</w:t>
      </w:r>
    </w:p>
    <w:p w:rsidR="00741D87" w:rsidRPr="00A308E2" w:rsidRDefault="00741D87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Закон опадајућих приноса</w:t>
      </w:r>
    </w:p>
    <w:p w:rsidR="00741D87" w:rsidRPr="00A308E2" w:rsidRDefault="00741D87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Укупни, просјечни и гранични производ</w:t>
      </w:r>
    </w:p>
    <w:p w:rsidR="00741D87" w:rsidRDefault="00741D87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Међузависност укупног, просјечног и граничног производа</w:t>
      </w:r>
      <w:r w:rsidR="00A308E2">
        <w:rPr>
          <w:rFonts w:ascii="Times New Roman" w:hAnsi="Times New Roman" w:cs="Times New Roman"/>
          <w:sz w:val="24"/>
          <w:szCs w:val="24"/>
          <w:lang w:val="sr-Cyrl-BA"/>
        </w:rPr>
        <w:t xml:space="preserve"> – анализа у кратком року</w:t>
      </w:r>
    </w:p>
    <w:p w:rsidR="00BC605C" w:rsidRDefault="00BC605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Детерминис</w:t>
      </w:r>
      <w:r w:rsidR="0090105C">
        <w:rPr>
          <w:rFonts w:ascii="Times New Roman" w:hAnsi="Times New Roman" w:cs="Times New Roman"/>
          <w:sz w:val="24"/>
          <w:szCs w:val="24"/>
          <w:lang w:val="sr-Cyrl-BA"/>
        </w:rPr>
        <w:t>ање три фазе производње у кратком року и њихова обиљежја</w:t>
      </w:r>
    </w:p>
    <w:p w:rsidR="0090105C" w:rsidRPr="00A308E2" w:rsidRDefault="00BC605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Објаснити три фазе производње на основу тумачења </w:t>
      </w:r>
      <w:r w:rsidR="00E66ADE">
        <w:rPr>
          <w:rFonts w:ascii="Times New Roman" w:hAnsi="Times New Roman" w:cs="Times New Roman"/>
          <w:sz w:val="24"/>
          <w:szCs w:val="24"/>
          <w:lang w:val="sr-Cyrl-BA"/>
        </w:rPr>
        <w:t>функције просјечног производа у кратком року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90105C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:rsidR="00741D87" w:rsidRDefault="00741D87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</w:t>
      </w:r>
      <w:r w:rsidR="00F26E99">
        <w:rPr>
          <w:rFonts w:ascii="Times New Roman" w:hAnsi="Times New Roman" w:cs="Times New Roman"/>
          <w:sz w:val="24"/>
          <w:szCs w:val="24"/>
          <w:lang w:val="sr-Cyrl-BA"/>
        </w:rPr>
        <w:t>ојам п</w:t>
      </w:r>
      <w:r w:rsidRPr="00A308E2">
        <w:rPr>
          <w:rFonts w:ascii="Times New Roman" w:hAnsi="Times New Roman" w:cs="Times New Roman"/>
          <w:sz w:val="24"/>
          <w:szCs w:val="24"/>
          <w:lang w:val="sr-Cyrl-BA"/>
        </w:rPr>
        <w:t>родуктивност. Фактори продуктивности</w:t>
      </w:r>
    </w:p>
    <w:p w:rsidR="00FB343C" w:rsidRDefault="00FB343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Анализа продуктивности фактора</w:t>
      </w:r>
    </w:p>
    <w:p w:rsidR="00FB343C" w:rsidRDefault="00FB343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Анализа приноса обима</w:t>
      </w:r>
    </w:p>
    <w:p w:rsidR="00FB343C" w:rsidRDefault="00FB343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Укупна и парцијална факторска продуктивност</w:t>
      </w:r>
    </w:p>
    <w:p w:rsidR="00FB343C" w:rsidRPr="00A308E2" w:rsidRDefault="00FB343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Мјерење продуктивности</w:t>
      </w:r>
    </w:p>
    <w:p w:rsidR="00D57C43" w:rsidRPr="00A308E2" w:rsidRDefault="00741D87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Про</w:t>
      </w:r>
      <w:r w:rsidR="00D57C43" w:rsidRPr="00A308E2">
        <w:rPr>
          <w:rFonts w:ascii="Times New Roman" w:hAnsi="Times New Roman" w:cs="Times New Roman"/>
          <w:sz w:val="24"/>
          <w:szCs w:val="24"/>
          <w:lang w:val="sr-Cyrl-BA"/>
        </w:rPr>
        <w:t>извод у изразу продуктивности. Мјерење</w:t>
      </w:r>
      <w:r w:rsidRPr="00A308E2">
        <w:rPr>
          <w:rFonts w:ascii="Times New Roman" w:hAnsi="Times New Roman" w:cs="Times New Roman"/>
          <w:sz w:val="24"/>
          <w:szCs w:val="24"/>
          <w:lang w:val="sr-Cyrl-BA"/>
        </w:rPr>
        <w:t xml:space="preserve"> продуктивности</w:t>
      </w:r>
      <w:r w:rsidR="00D57C43" w:rsidRPr="00A308E2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:rsidR="00741D87" w:rsidRPr="00A308E2" w:rsidRDefault="00D57C43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Спровође</w:t>
      </w:r>
      <w:r w:rsidR="00741D87" w:rsidRPr="00A308E2">
        <w:rPr>
          <w:rFonts w:ascii="Times New Roman" w:hAnsi="Times New Roman" w:cs="Times New Roman"/>
          <w:sz w:val="24"/>
          <w:szCs w:val="24"/>
          <w:lang w:val="sr-Cyrl-BA"/>
        </w:rPr>
        <w:t>њ</w:t>
      </w:r>
      <w:r w:rsidRPr="00A308E2">
        <w:rPr>
          <w:rFonts w:ascii="Times New Roman" w:hAnsi="Times New Roman" w:cs="Times New Roman"/>
          <w:sz w:val="24"/>
          <w:szCs w:val="24"/>
        </w:rPr>
        <w:t>e</w:t>
      </w:r>
      <w:r w:rsidR="00741D87" w:rsidRPr="00A308E2">
        <w:rPr>
          <w:rFonts w:ascii="Times New Roman" w:hAnsi="Times New Roman" w:cs="Times New Roman"/>
          <w:sz w:val="24"/>
          <w:szCs w:val="24"/>
          <w:lang w:val="sr-Cyrl-BA"/>
        </w:rPr>
        <w:t xml:space="preserve"> принципа продуктивности</w:t>
      </w:r>
    </w:p>
    <w:p w:rsidR="00D57C43" w:rsidRPr="00A308E2" w:rsidRDefault="00D57C43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Финансијско изражавање трошења</w:t>
      </w:r>
    </w:p>
    <w:p w:rsidR="00D57C43" w:rsidRPr="00A308E2" w:rsidRDefault="00D57C43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Класификација трошкова</w:t>
      </w:r>
    </w:p>
    <w:p w:rsidR="00D57C43" w:rsidRPr="00A308E2" w:rsidRDefault="00D57C43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Класификација трошкова према факторима производње и мјестима настанка трошка</w:t>
      </w:r>
    </w:p>
    <w:p w:rsidR="00D57C43" w:rsidRPr="00A308E2" w:rsidRDefault="00D57C43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Класификација трошкова према везаности за носиоца и начину обрачуна по носиоцима, те прем</w:t>
      </w:r>
      <w:r w:rsidR="00A308E2">
        <w:rPr>
          <w:rFonts w:ascii="Times New Roman" w:hAnsi="Times New Roman" w:cs="Times New Roman"/>
          <w:sz w:val="24"/>
          <w:szCs w:val="24"/>
          <w:lang w:val="sr-Cyrl-BA"/>
        </w:rPr>
        <w:t>а</w:t>
      </w:r>
      <w:r w:rsidRPr="00A308E2">
        <w:rPr>
          <w:rFonts w:ascii="Times New Roman" w:hAnsi="Times New Roman" w:cs="Times New Roman"/>
          <w:sz w:val="24"/>
          <w:szCs w:val="24"/>
          <w:lang w:val="sr-Cyrl-BA"/>
        </w:rPr>
        <w:t xml:space="preserve"> удловљености производњом и њеном припремом</w:t>
      </w:r>
    </w:p>
    <w:p w:rsidR="00D57C43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Укупни трошкови и просјечни укупни трошкови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Укупни фиксни и просјечни фиксни трошкови</w:t>
      </w:r>
    </w:p>
    <w:p w:rsidR="00164134" w:rsidRPr="00A308E2" w:rsidRDefault="00A308E2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Укупни релативно-</w:t>
      </w:r>
      <w:r w:rsidR="00164134" w:rsidRPr="00A308E2">
        <w:rPr>
          <w:rFonts w:ascii="Times New Roman" w:hAnsi="Times New Roman" w:cs="Times New Roman"/>
          <w:sz w:val="24"/>
          <w:szCs w:val="24"/>
          <w:lang w:val="sr-Cyrl-BA"/>
        </w:rPr>
        <w:t>фиксни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трошкови и просјечни релативно-</w:t>
      </w:r>
      <w:r w:rsidR="00164134" w:rsidRPr="00A308E2">
        <w:rPr>
          <w:rFonts w:ascii="Times New Roman" w:hAnsi="Times New Roman" w:cs="Times New Roman"/>
          <w:sz w:val="24"/>
          <w:szCs w:val="24"/>
          <w:lang w:val="sr-Cyrl-BA"/>
        </w:rPr>
        <w:t>фиксни трошкови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Укупни варијабилни трошкови и просјечни варијабилни трошкови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Гранични трошкови.</w:t>
      </w:r>
    </w:p>
    <w:p w:rsidR="00164134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Међузависност укупних, просјечних и граничних трошкова</w:t>
      </w:r>
      <w:r w:rsidR="0071048D">
        <w:rPr>
          <w:rFonts w:ascii="Times New Roman" w:hAnsi="Times New Roman" w:cs="Times New Roman"/>
          <w:sz w:val="24"/>
          <w:szCs w:val="24"/>
          <w:lang w:val="sr-Cyrl-BA"/>
        </w:rPr>
        <w:t xml:space="preserve"> – анализа у кратком року</w:t>
      </w:r>
    </w:p>
    <w:p w:rsidR="00BC605C" w:rsidRDefault="00BC605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Ефекат промјене цијене(а) фактора производње на изотрошковну линију</w:t>
      </w:r>
    </w:p>
    <w:p w:rsidR="003C1BE4" w:rsidRPr="00A308E2" w:rsidRDefault="003C1BE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Повезаност укупних вриједности функција производње и трошкова</w:t>
      </w:r>
      <w:r w:rsidR="00BC605C">
        <w:rPr>
          <w:rFonts w:ascii="Times New Roman" w:hAnsi="Times New Roman" w:cs="Times New Roman"/>
          <w:sz w:val="24"/>
          <w:szCs w:val="24"/>
          <w:lang w:val="sr-Cyrl-BA"/>
        </w:rPr>
        <w:t xml:space="preserve"> у кратком року</w:t>
      </w:r>
    </w:p>
    <w:p w:rsidR="003C1BE4" w:rsidRPr="00A308E2" w:rsidRDefault="003C1BE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Повезаност просјечних вриједности функција производње и трошкова</w:t>
      </w:r>
      <w:r w:rsidR="00BC605C">
        <w:rPr>
          <w:rFonts w:ascii="Times New Roman" w:hAnsi="Times New Roman" w:cs="Times New Roman"/>
          <w:sz w:val="24"/>
          <w:szCs w:val="24"/>
          <w:lang w:val="sr-Cyrl-BA"/>
        </w:rPr>
        <w:t xml:space="preserve"> у кратком року</w:t>
      </w:r>
    </w:p>
    <w:p w:rsidR="003C1BE4" w:rsidRDefault="003C1BE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Повезаност граничних вриједности функција производње и трошкова</w:t>
      </w:r>
      <w:r w:rsidR="00BC605C">
        <w:rPr>
          <w:rFonts w:ascii="Times New Roman" w:hAnsi="Times New Roman" w:cs="Times New Roman"/>
          <w:sz w:val="24"/>
          <w:szCs w:val="24"/>
          <w:lang w:val="sr-Cyrl-BA"/>
        </w:rPr>
        <w:t xml:space="preserve"> у кратком року</w:t>
      </w:r>
    </w:p>
    <w:p w:rsidR="0090105C" w:rsidRDefault="0090105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Повезаност дугорочне функције укупног производа и дугорочне фунцкије укупних трошкова</w:t>
      </w:r>
    </w:p>
    <w:p w:rsidR="00BC605C" w:rsidRDefault="00BC605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Однос дугорочних укупних трошкова, дугорочних просјечних трошкова и дугорочних граничних трошкова</w:t>
      </w:r>
    </w:p>
    <w:p w:rsidR="00E66ADE" w:rsidRDefault="00E66AD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Изотрошковна линија – појам и нагиб</w:t>
      </w:r>
    </w:p>
    <w:p w:rsidR="0090105C" w:rsidRDefault="0090105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Случај два варијабилна инпута – минимизирање трошкова</w:t>
      </w:r>
    </w:p>
    <w:p w:rsidR="0090105C" w:rsidRDefault="0090105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Објаснити феномен(е) (дис)економије обима</w:t>
      </w:r>
    </w:p>
    <w:p w:rsidR="0090105C" w:rsidRDefault="00BC605C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Објаснити</w:t>
      </w:r>
      <w:r w:rsidR="00E66ADE">
        <w:rPr>
          <w:rFonts w:ascii="Times New Roman" w:hAnsi="Times New Roman" w:cs="Times New Roman"/>
          <w:sz w:val="24"/>
          <w:szCs w:val="24"/>
          <w:lang w:val="sr-Cyrl-BA"/>
        </w:rPr>
        <w:t xml:space="preserve"> утицај економије обима на приказ краткорочних функција просјечних трошкова погона различитих величина</w:t>
      </w:r>
    </w:p>
    <w:p w:rsidR="00E66ADE" w:rsidRPr="00A308E2" w:rsidRDefault="00E66ADE" w:rsidP="00E66ADE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Објаснити утицај дисекономије обима на приказ краткорочних функција просјечних трошкова погона различитих величина</w:t>
      </w:r>
    </w:p>
    <w:p w:rsidR="00E66ADE" w:rsidRPr="00A308E2" w:rsidRDefault="00E66AD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Дугорочна функција просјечних трошкова као обвојница краткорочних функција просјечн</w:t>
      </w:r>
      <w:r w:rsidR="0024085A">
        <w:rPr>
          <w:rFonts w:ascii="Times New Roman" w:hAnsi="Times New Roman" w:cs="Times New Roman"/>
          <w:sz w:val="24"/>
          <w:szCs w:val="24"/>
          <w:lang w:val="sr-Cyrl-BA"/>
        </w:rPr>
        <w:t>их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трошк</w:t>
      </w:r>
      <w:r w:rsidR="0024085A">
        <w:rPr>
          <w:rFonts w:ascii="Times New Roman" w:hAnsi="Times New Roman" w:cs="Times New Roman"/>
          <w:sz w:val="24"/>
          <w:szCs w:val="24"/>
          <w:lang w:val="sr-Cyrl-BA"/>
        </w:rPr>
        <w:t>ов</w:t>
      </w:r>
      <w:r>
        <w:rPr>
          <w:rFonts w:ascii="Times New Roman" w:hAnsi="Times New Roman" w:cs="Times New Roman"/>
          <w:sz w:val="24"/>
          <w:szCs w:val="24"/>
          <w:lang w:val="sr-Cyrl-BA"/>
        </w:rPr>
        <w:t>а погона различитих величина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Појам калкулације.Елементи и врсте калкулације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Утврђивање општих и директних трошкова. Расподјела општих трошкова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 xml:space="preserve">Методе калкулације </w:t>
      </w:r>
      <w:r w:rsidR="007A183E" w:rsidRPr="00A308E2">
        <w:rPr>
          <w:rFonts w:ascii="Times New Roman" w:hAnsi="Times New Roman" w:cs="Times New Roman"/>
          <w:sz w:val="24"/>
          <w:szCs w:val="24"/>
          <w:lang w:val="sr-Cyrl-BA"/>
        </w:rPr>
        <w:t>цијене коштања</w:t>
      </w:r>
    </w:p>
    <w:p w:rsidR="003C1BE4" w:rsidRPr="00A308E2" w:rsidRDefault="003C1BE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Дјелидбене калкулације</w:t>
      </w:r>
      <w:r w:rsidR="007A183E" w:rsidRPr="00A308E2">
        <w:rPr>
          <w:rFonts w:ascii="Times New Roman" w:hAnsi="Times New Roman" w:cs="Times New Roman"/>
          <w:sz w:val="24"/>
          <w:szCs w:val="24"/>
          <w:lang w:val="sr-Cyrl-BA"/>
        </w:rPr>
        <w:t xml:space="preserve"> цијене коштања. Врсте дјелидбене калкулације цијене коштања</w:t>
      </w:r>
    </w:p>
    <w:p w:rsidR="007A183E" w:rsidRPr="00A308E2" w:rsidRDefault="007A183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Додатна калкулација цијене коштања. Врсте додатне калукалције цијене коштања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r w:rsidRPr="00A308E2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Pr="00A308E2">
        <w:rPr>
          <w:rFonts w:ascii="Times New Roman" w:hAnsi="Times New Roman" w:cs="Times New Roman"/>
          <w:sz w:val="24"/>
          <w:szCs w:val="24"/>
        </w:rPr>
        <w:t>.</w:t>
      </w:r>
      <w:r w:rsidR="00FB343C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A308E2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A30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8E2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</w:p>
    <w:p w:rsidR="007A183E" w:rsidRPr="00A308E2" w:rsidRDefault="007A183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Укупни приходи</w:t>
      </w:r>
    </w:p>
    <w:p w:rsidR="007A183E" w:rsidRPr="00A308E2" w:rsidRDefault="007A183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Просјечни приходи</w:t>
      </w:r>
    </w:p>
    <w:p w:rsidR="007A183E" w:rsidRPr="00A308E2" w:rsidRDefault="007A183E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Гранични приходи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Потражња за добром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Потражња са којом се суочава предузеће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Цијена и одређивање цијене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Одређивање цијене у случају</w:t>
      </w:r>
      <w:r w:rsidR="00E95DE2" w:rsidRPr="00A308E2">
        <w:rPr>
          <w:rFonts w:ascii="Times New Roman" w:hAnsi="Times New Roman" w:cs="Times New Roman"/>
          <w:sz w:val="24"/>
          <w:szCs w:val="24"/>
          <w:lang w:val="sr-Cyrl-BA"/>
        </w:rPr>
        <w:t xml:space="preserve"> савршене конкуренције</w:t>
      </w:r>
    </w:p>
    <w:p w:rsidR="00164134" w:rsidRPr="00A308E2" w:rsidRDefault="00164134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Одређивање цијене у случају монопола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Укупни приходи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Просјечни приходи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Гранични приходи</w:t>
      </w:r>
    </w:p>
    <w:p w:rsidR="003236BF" w:rsidRPr="00A308E2" w:rsidRDefault="00F26E9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Појам е</w:t>
      </w:r>
      <w:r w:rsidR="003236BF" w:rsidRPr="00A308E2">
        <w:rPr>
          <w:rFonts w:ascii="Times New Roman" w:hAnsi="Times New Roman" w:cs="Times New Roman"/>
          <w:sz w:val="24"/>
          <w:szCs w:val="24"/>
          <w:lang w:val="sr-Cyrl-BA"/>
        </w:rPr>
        <w:t>кономичност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Натурално изражавање економичности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Вриједносно изражавање економичности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Спровођење принципа економичности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Анализа прага економичности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Натурална метода израчунавања прага економичности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Вриједносна метода израчунавања прага економичности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Израчунавање и приказивање марже сигурности прага економичности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Ефекти промјене утицајних фактора на праг економичности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Ефекти промјене продајне цијене на праг економичности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Ефекти промјене варијабилних трошкова на праг економичности</w:t>
      </w:r>
    </w:p>
    <w:p w:rsidR="003236BF" w:rsidRPr="00A308E2" w:rsidRDefault="003236BF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Ефекти промјене фиксних трошкова на праг економичности</w:t>
      </w:r>
    </w:p>
    <w:p w:rsidR="003236BF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Израчунавање жељеног обима продаје или профита</w:t>
      </w:r>
    </w:p>
    <w:p w:rsidR="00F26E99" w:rsidRPr="00A308E2" w:rsidRDefault="00F26E9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Анализа прага економичности и тражња (претпоставка о промјенљивости цијене производа)</w:t>
      </w:r>
    </w:p>
    <w:p w:rsidR="001540FB" w:rsidRPr="00A308E2" w:rsidRDefault="00F26E9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Добит као финансијски резул</w:t>
      </w:r>
      <w:r w:rsidR="001540FB" w:rsidRPr="00A308E2">
        <w:rPr>
          <w:rFonts w:ascii="Times New Roman" w:hAnsi="Times New Roman" w:cs="Times New Roman"/>
          <w:sz w:val="24"/>
          <w:szCs w:val="24"/>
          <w:lang w:val="sr-Cyrl-BA"/>
        </w:rPr>
        <w:t>тат пословања</w:t>
      </w:r>
    </w:p>
    <w:p w:rsidR="001540FB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Губитак као финансијски резултат пословања</w:t>
      </w:r>
    </w:p>
    <w:p w:rsidR="001540FB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Тачка максималног профита у савршеној конкуренцији</w:t>
      </w:r>
    </w:p>
    <w:p w:rsidR="001540FB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Тачка нултог профита у савршеној конкуренцији – промјена по цијени</w:t>
      </w:r>
    </w:p>
    <w:p w:rsidR="001540FB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Тачка затварања предузећа у савршеној конкуренцији- промјена по цијени</w:t>
      </w:r>
    </w:p>
    <w:p w:rsidR="001540FB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Тачка нултог профита у савршеној конкуренцији – промјена по количини производа</w:t>
      </w:r>
    </w:p>
    <w:p w:rsidR="001540FB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Тачка затварања предузећа у савршеној конкуренцији – промјена по количини производа</w:t>
      </w:r>
    </w:p>
    <w:p w:rsidR="001540FB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Повезаност критичних тачака пословања предузећа у савршеној конкуренцији – промјена по количини</w:t>
      </w:r>
    </w:p>
    <w:p w:rsidR="001540FB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Тачка максималног профита у монополу</w:t>
      </w:r>
    </w:p>
    <w:p w:rsidR="00E5550E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Тачка нултог профита у монополу – промјена по цијени</w:t>
      </w:r>
    </w:p>
    <w:p w:rsidR="00FB08B6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Тачка затварања предузећа у монополу – промјена по цијени</w:t>
      </w:r>
    </w:p>
    <w:p w:rsidR="00FB08B6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Тачка нултог профита у монополу</w:t>
      </w:r>
      <w:r w:rsidR="0001287A" w:rsidRPr="00A308E2">
        <w:rPr>
          <w:rFonts w:ascii="Times New Roman" w:hAnsi="Times New Roman" w:cs="Times New Roman"/>
          <w:sz w:val="24"/>
          <w:szCs w:val="24"/>
          <w:lang w:val="sr-Cyrl-BA"/>
        </w:rPr>
        <w:t xml:space="preserve"> -</w:t>
      </w:r>
      <w:r w:rsidRPr="00A308E2">
        <w:rPr>
          <w:rFonts w:ascii="Times New Roman" w:hAnsi="Times New Roman" w:cs="Times New Roman"/>
          <w:sz w:val="24"/>
          <w:szCs w:val="24"/>
          <w:lang w:val="sr-Cyrl-BA"/>
        </w:rPr>
        <w:t xml:space="preserve"> промјена по количини производа</w:t>
      </w:r>
    </w:p>
    <w:p w:rsidR="00FB08B6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Тачка затварања предузећа у монополу – промјена по количини производа</w:t>
      </w:r>
    </w:p>
    <w:p w:rsidR="00FB08B6" w:rsidRPr="00A308E2" w:rsidRDefault="001540FB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308E2">
        <w:rPr>
          <w:rFonts w:ascii="Times New Roman" w:hAnsi="Times New Roman" w:cs="Times New Roman"/>
          <w:sz w:val="24"/>
          <w:szCs w:val="24"/>
          <w:lang w:val="sr-Cyrl-BA"/>
        </w:rPr>
        <w:t>Повезаност критичних тачака пословања предузећа у монополу –</w:t>
      </w:r>
      <w:r w:rsidR="00E5550E" w:rsidRPr="00A308E2">
        <w:rPr>
          <w:rFonts w:ascii="Times New Roman" w:hAnsi="Times New Roman" w:cs="Times New Roman"/>
          <w:sz w:val="24"/>
          <w:szCs w:val="24"/>
          <w:lang w:val="sr-Cyrl-BA"/>
        </w:rPr>
        <w:t xml:space="preserve"> промјена по   </w:t>
      </w:r>
      <w:r w:rsidRPr="00A308E2">
        <w:rPr>
          <w:rFonts w:ascii="Times New Roman" w:hAnsi="Times New Roman" w:cs="Times New Roman"/>
          <w:sz w:val="24"/>
          <w:szCs w:val="24"/>
          <w:lang w:val="sr-Cyrl-BA"/>
        </w:rPr>
        <w:t>количини производа</w:t>
      </w:r>
    </w:p>
    <w:p w:rsidR="00FB08B6" w:rsidRDefault="00F26E9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Појам р</w:t>
      </w:r>
      <w:r w:rsidR="003C1BE4" w:rsidRPr="00A308E2">
        <w:rPr>
          <w:rFonts w:ascii="Times New Roman" w:hAnsi="Times New Roman" w:cs="Times New Roman"/>
          <w:sz w:val="24"/>
          <w:szCs w:val="24"/>
          <w:lang w:val="sr-Cyrl-BA"/>
        </w:rPr>
        <w:t>ентабилност</w:t>
      </w:r>
    </w:p>
    <w:p w:rsidR="00F26E99" w:rsidRDefault="00F26E9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Разликовање рачуноводственог и економског профита</w:t>
      </w:r>
    </w:p>
    <w:p w:rsidR="00F26E99" w:rsidRPr="00A308E2" w:rsidRDefault="00F26E99" w:rsidP="00A308E2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Мјерење рентабилности – рачуноводствени и економски приступ</w:t>
      </w:r>
    </w:p>
    <w:p w:rsidR="00ED2AD8" w:rsidRDefault="00ED2AD8" w:rsidP="00ED2AD8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ED2AD8" w:rsidRPr="00ED2AD8" w:rsidRDefault="00ED447A" w:rsidP="00ED2AD8">
      <w:pPr>
        <w:jc w:val="right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Проф. д</w:t>
      </w:r>
      <w:r w:rsidR="00ED2AD8">
        <w:rPr>
          <w:rFonts w:ascii="Times New Roman" w:hAnsi="Times New Roman" w:cs="Times New Roman"/>
          <w:sz w:val="24"/>
          <w:szCs w:val="24"/>
          <w:lang w:val="sr-Cyrl-BA"/>
        </w:rPr>
        <w:t xml:space="preserve">р </w:t>
      </w:r>
      <w:r w:rsidR="00A308E2">
        <w:rPr>
          <w:rFonts w:ascii="Times New Roman" w:hAnsi="Times New Roman" w:cs="Times New Roman"/>
          <w:sz w:val="24"/>
          <w:szCs w:val="24"/>
          <w:lang w:val="sr-Cyrl-BA"/>
        </w:rPr>
        <w:t>Матеа Златковић Радаковић</w:t>
      </w:r>
    </w:p>
    <w:p w:rsidR="006144DE" w:rsidRDefault="006144DE" w:rsidP="001B6806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6144DE" w:rsidRDefault="006144DE" w:rsidP="001B6806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6144DE" w:rsidRDefault="006144DE" w:rsidP="001B6806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6144DE" w:rsidRPr="001B6806" w:rsidRDefault="006144DE" w:rsidP="001B6806">
      <w:pPr>
        <w:rPr>
          <w:rFonts w:ascii="Times New Roman" w:hAnsi="Times New Roman" w:cs="Times New Roman"/>
          <w:sz w:val="24"/>
          <w:szCs w:val="24"/>
          <w:lang w:val="sr-Cyrl-BA"/>
        </w:rPr>
      </w:pPr>
    </w:p>
    <w:sectPr w:rsidR="006144DE" w:rsidRPr="001B6806" w:rsidSect="00FB343C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Times New Roman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72A3"/>
    <w:multiLevelType w:val="hybridMultilevel"/>
    <w:tmpl w:val="8E084498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3FCC190">
      <w:start w:val="1"/>
      <w:numFmt w:val="bullet"/>
      <w:lvlRestart w:val="0"/>
      <w:pStyle w:val="ListaOznaena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cs="Symbol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161A83"/>
    <w:multiLevelType w:val="hybridMultilevel"/>
    <w:tmpl w:val="BAA007D4"/>
    <w:lvl w:ilvl="0" w:tplc="5B6E06F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D45EF"/>
    <w:multiLevelType w:val="hybridMultilevel"/>
    <w:tmpl w:val="4B602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7623A"/>
    <w:multiLevelType w:val="hybridMultilevel"/>
    <w:tmpl w:val="1E9E0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806"/>
    <w:rsid w:val="0001287A"/>
    <w:rsid w:val="00044DD6"/>
    <w:rsid w:val="00067FD7"/>
    <w:rsid w:val="001540FB"/>
    <w:rsid w:val="00164134"/>
    <w:rsid w:val="001B6806"/>
    <w:rsid w:val="001F4A51"/>
    <w:rsid w:val="0024085A"/>
    <w:rsid w:val="00257776"/>
    <w:rsid w:val="0031600B"/>
    <w:rsid w:val="003236BF"/>
    <w:rsid w:val="0033299C"/>
    <w:rsid w:val="003C1BE4"/>
    <w:rsid w:val="004D3EE2"/>
    <w:rsid w:val="00525FA0"/>
    <w:rsid w:val="00535C07"/>
    <w:rsid w:val="006144DE"/>
    <w:rsid w:val="00617EB7"/>
    <w:rsid w:val="0071048D"/>
    <w:rsid w:val="00724E89"/>
    <w:rsid w:val="00741D87"/>
    <w:rsid w:val="007A183E"/>
    <w:rsid w:val="00801B39"/>
    <w:rsid w:val="00814A7C"/>
    <w:rsid w:val="00831C9E"/>
    <w:rsid w:val="00840F0F"/>
    <w:rsid w:val="0090105C"/>
    <w:rsid w:val="00A308E2"/>
    <w:rsid w:val="00AF28D8"/>
    <w:rsid w:val="00BC605C"/>
    <w:rsid w:val="00BC6DAD"/>
    <w:rsid w:val="00CA5E96"/>
    <w:rsid w:val="00CE1C89"/>
    <w:rsid w:val="00D57C43"/>
    <w:rsid w:val="00DF0417"/>
    <w:rsid w:val="00E078D0"/>
    <w:rsid w:val="00E423C6"/>
    <w:rsid w:val="00E5550E"/>
    <w:rsid w:val="00E66ADE"/>
    <w:rsid w:val="00E95DE2"/>
    <w:rsid w:val="00EA7FC2"/>
    <w:rsid w:val="00ED2AD8"/>
    <w:rsid w:val="00ED447A"/>
    <w:rsid w:val="00ED6405"/>
    <w:rsid w:val="00F26E99"/>
    <w:rsid w:val="00F52645"/>
    <w:rsid w:val="00F6421E"/>
    <w:rsid w:val="00FB08B6"/>
    <w:rsid w:val="00FB343C"/>
    <w:rsid w:val="00FC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de0f7,#dccffd,#f1ecfe,#e3eafd,#f4f7fe"/>
    </o:shapedefaults>
    <o:shapelayout v:ext="edit">
      <o:idmap v:ext="edit" data="1"/>
    </o:shapelayout>
  </w:shapeDefaults>
  <w:decimalSymbol w:val="."/>
  <w:listSeparator w:val=","/>
  <w14:docId w14:val="01C6D94D"/>
  <w15:docId w15:val="{B095B7E9-B171-4444-9374-98ECDEC4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43C"/>
  </w:style>
  <w:style w:type="paragraph" w:styleId="Heading1">
    <w:name w:val="heading 1"/>
    <w:basedOn w:val="Normal"/>
    <w:next w:val="Normal"/>
    <w:link w:val="Heading1Char"/>
    <w:uiPriority w:val="9"/>
    <w:qFormat/>
    <w:rsid w:val="00FB343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343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343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343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B343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B343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43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343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43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43C"/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B343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B343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FB343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FB343C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FB343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rsid w:val="00FB343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a">
    <w:name w:val="a"/>
    <w:basedOn w:val="DefaultParagraphFont"/>
    <w:rsid w:val="006144DE"/>
  </w:style>
  <w:style w:type="character" w:customStyle="1" w:styleId="l9">
    <w:name w:val="l9"/>
    <w:basedOn w:val="DefaultParagraphFont"/>
    <w:rsid w:val="006144DE"/>
  </w:style>
  <w:style w:type="character" w:customStyle="1" w:styleId="l8">
    <w:name w:val="l8"/>
    <w:basedOn w:val="DefaultParagraphFont"/>
    <w:rsid w:val="006144DE"/>
  </w:style>
  <w:style w:type="character" w:customStyle="1" w:styleId="l7">
    <w:name w:val="l7"/>
    <w:basedOn w:val="DefaultParagraphFont"/>
    <w:rsid w:val="006144DE"/>
  </w:style>
  <w:style w:type="character" w:customStyle="1" w:styleId="l6">
    <w:name w:val="l6"/>
    <w:basedOn w:val="DefaultParagraphFont"/>
    <w:rsid w:val="006144DE"/>
  </w:style>
  <w:style w:type="character" w:customStyle="1" w:styleId="l10">
    <w:name w:val="l10"/>
    <w:basedOn w:val="DefaultParagraphFont"/>
    <w:rsid w:val="006144DE"/>
  </w:style>
  <w:style w:type="character" w:customStyle="1" w:styleId="l">
    <w:name w:val="l"/>
    <w:basedOn w:val="DefaultParagraphFont"/>
    <w:rsid w:val="006144DE"/>
  </w:style>
  <w:style w:type="paragraph" w:styleId="BalloonText">
    <w:name w:val="Balloon Text"/>
    <w:basedOn w:val="Normal"/>
    <w:link w:val="BalloonTextChar"/>
    <w:uiPriority w:val="99"/>
    <w:semiHidden/>
    <w:rsid w:val="006144DE"/>
    <w:pPr>
      <w:spacing w:after="0" w:line="240" w:lineRule="auto"/>
    </w:pPr>
    <w:rPr>
      <w:rFonts w:ascii="Tahoma" w:eastAsia="Calibri" w:hAnsi="Tahoma" w:cs="Tahoma"/>
      <w:sz w:val="16"/>
      <w:szCs w:val="16"/>
      <w:lang w:val="sr-Latn-B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4DE"/>
    <w:rPr>
      <w:rFonts w:ascii="Tahoma" w:eastAsia="Calibri" w:hAnsi="Tahoma" w:cs="Tahoma"/>
      <w:sz w:val="16"/>
      <w:szCs w:val="16"/>
      <w:lang w:val="sr-Latn-BA"/>
    </w:rPr>
  </w:style>
  <w:style w:type="paragraph" w:styleId="ListParagraph">
    <w:name w:val="List Paragraph"/>
    <w:basedOn w:val="Normal"/>
    <w:uiPriority w:val="34"/>
    <w:qFormat/>
    <w:rsid w:val="006144DE"/>
    <w:pPr>
      <w:ind w:left="720"/>
      <w:contextualSpacing/>
    </w:pPr>
  </w:style>
  <w:style w:type="character" w:customStyle="1" w:styleId="l11">
    <w:name w:val="l11"/>
    <w:basedOn w:val="DefaultParagraphFont"/>
    <w:rsid w:val="006144DE"/>
  </w:style>
  <w:style w:type="character" w:customStyle="1" w:styleId="l12">
    <w:name w:val="l12"/>
    <w:basedOn w:val="DefaultParagraphFont"/>
    <w:rsid w:val="006144DE"/>
  </w:style>
  <w:style w:type="paragraph" w:styleId="FootnoteText">
    <w:name w:val="footnote text"/>
    <w:aliases w:val="Fuss nota"/>
    <w:basedOn w:val="Normal"/>
    <w:link w:val="FootnoteTextChar"/>
    <w:rsid w:val="006144DE"/>
    <w:pPr>
      <w:spacing w:after="0" w:line="240" w:lineRule="auto"/>
    </w:pPr>
    <w:rPr>
      <w:rFonts w:ascii="Calibri" w:eastAsia="Calibri" w:hAnsi="Calibri" w:cs="Calibri"/>
      <w:sz w:val="20"/>
      <w:szCs w:val="20"/>
      <w:lang w:val="sr-Latn-BA"/>
    </w:rPr>
  </w:style>
  <w:style w:type="character" w:customStyle="1" w:styleId="FootnoteTextChar">
    <w:name w:val="Footnote Text Char"/>
    <w:aliases w:val="Fuss nota Char"/>
    <w:basedOn w:val="DefaultParagraphFont"/>
    <w:link w:val="FootnoteText"/>
    <w:rsid w:val="006144DE"/>
    <w:rPr>
      <w:rFonts w:ascii="Calibri" w:eastAsia="Calibri" w:hAnsi="Calibri" w:cs="Calibri"/>
      <w:sz w:val="20"/>
      <w:szCs w:val="20"/>
      <w:lang w:val="sr-Latn-BA"/>
    </w:rPr>
  </w:style>
  <w:style w:type="character" w:styleId="FootnoteReference">
    <w:name w:val="footnote reference"/>
    <w:basedOn w:val="DefaultParagraphFont"/>
    <w:rsid w:val="006144DE"/>
    <w:rPr>
      <w:vertAlign w:val="superscript"/>
    </w:rPr>
  </w:style>
  <w:style w:type="paragraph" w:styleId="BodyText">
    <w:name w:val="Body Text"/>
    <w:basedOn w:val="Normal"/>
    <w:link w:val="BodyTextChar"/>
    <w:semiHidden/>
    <w:rsid w:val="006144DE"/>
    <w:pPr>
      <w:spacing w:before="120" w:after="0" w:line="240" w:lineRule="auto"/>
      <w:jc w:val="both"/>
    </w:pPr>
    <w:rPr>
      <w:rFonts w:ascii="YU Times New Roman" w:eastAsia="Times New Roman" w:hAnsi="YU Times New Roman" w:cs="YU 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144DE"/>
    <w:rPr>
      <w:rFonts w:ascii="YU Times New Roman" w:eastAsia="Times New Roman" w:hAnsi="YU Times New Roman" w:cs="YU 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343C"/>
    <w:rPr>
      <w:b/>
      <w:bCs/>
    </w:rPr>
  </w:style>
  <w:style w:type="character" w:styleId="Emphasis">
    <w:name w:val="Emphasis"/>
    <w:basedOn w:val="DefaultParagraphFont"/>
    <w:uiPriority w:val="20"/>
    <w:qFormat/>
    <w:rsid w:val="00FB343C"/>
    <w:rPr>
      <w:i/>
      <w:iCs/>
      <w:color w:val="000000" w:themeColor="text1"/>
    </w:rPr>
  </w:style>
  <w:style w:type="character" w:styleId="HTMLCite">
    <w:name w:val="HTML Cite"/>
    <w:basedOn w:val="DefaultParagraphFont"/>
    <w:uiPriority w:val="99"/>
    <w:rsid w:val="006144DE"/>
    <w:rPr>
      <w:i/>
      <w:iCs/>
    </w:rPr>
  </w:style>
  <w:style w:type="paragraph" w:customStyle="1" w:styleId="Default">
    <w:name w:val="Default"/>
    <w:rsid w:val="006144D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sr-Latn-BA"/>
    </w:rPr>
  </w:style>
  <w:style w:type="paragraph" w:styleId="Title">
    <w:name w:val="Title"/>
    <w:basedOn w:val="Normal"/>
    <w:next w:val="Normal"/>
    <w:link w:val="TitleChar"/>
    <w:uiPriority w:val="10"/>
    <w:qFormat/>
    <w:rsid w:val="00FB343C"/>
    <w:pPr>
      <w:pBdr>
        <w:top w:val="single" w:sz="6" w:space="8" w:color="27CED7" w:themeColor="accent3"/>
        <w:bottom w:val="single" w:sz="6" w:space="8" w:color="27CED7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335B74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B343C"/>
    <w:rPr>
      <w:rFonts w:asciiTheme="majorHAnsi" w:eastAsiaTheme="majorEastAsia" w:hAnsiTheme="majorHAnsi" w:cstheme="majorBidi"/>
      <w:caps/>
      <w:color w:val="335B74" w:themeColor="text2"/>
      <w:spacing w:val="30"/>
      <w:sz w:val="72"/>
      <w:szCs w:val="72"/>
    </w:rPr>
  </w:style>
  <w:style w:type="paragraph" w:styleId="BodyTextIndent">
    <w:name w:val="Body Text Indent"/>
    <w:basedOn w:val="Normal"/>
    <w:link w:val="BodyTextIndentChar"/>
    <w:uiPriority w:val="99"/>
    <w:semiHidden/>
    <w:rsid w:val="006144DE"/>
    <w:pPr>
      <w:spacing w:after="120"/>
      <w:ind w:left="283"/>
    </w:pPr>
    <w:rPr>
      <w:rFonts w:ascii="Calibri" w:eastAsia="Calibri" w:hAnsi="Calibri" w:cs="Calibri"/>
      <w:lang w:val="sr-Latn-B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44DE"/>
    <w:rPr>
      <w:rFonts w:ascii="Calibri" w:eastAsia="Calibri" w:hAnsi="Calibri" w:cs="Calibri"/>
      <w:lang w:val="sr-Latn-BA"/>
    </w:rPr>
  </w:style>
  <w:style w:type="paragraph" w:styleId="BodyTextIndent3">
    <w:name w:val="Body Text Indent 3"/>
    <w:basedOn w:val="Normal"/>
    <w:link w:val="BodyTextIndent3Char"/>
    <w:uiPriority w:val="99"/>
    <w:semiHidden/>
    <w:rsid w:val="006144DE"/>
    <w:pPr>
      <w:spacing w:after="120" w:line="240" w:lineRule="auto"/>
      <w:ind w:left="283"/>
      <w:jc w:val="both"/>
    </w:pPr>
    <w:rPr>
      <w:rFonts w:ascii="Arial" w:eastAsia="Times New Roman" w:hAnsi="Arial" w:cs="Arial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144DE"/>
    <w:rPr>
      <w:rFonts w:ascii="Arial" w:eastAsia="Times New Roman" w:hAnsi="Arial" w:cs="Arial"/>
      <w:sz w:val="16"/>
      <w:szCs w:val="16"/>
    </w:rPr>
  </w:style>
  <w:style w:type="paragraph" w:styleId="NormalWeb">
    <w:name w:val="Normal (Web)"/>
    <w:basedOn w:val="Normal"/>
    <w:uiPriority w:val="99"/>
    <w:rsid w:val="00614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BA" w:eastAsia="sr-Latn-BA"/>
    </w:rPr>
  </w:style>
  <w:style w:type="character" w:styleId="Hyperlink">
    <w:name w:val="Hyperlink"/>
    <w:basedOn w:val="DefaultParagraphFont"/>
    <w:uiPriority w:val="99"/>
    <w:rsid w:val="006144DE"/>
    <w:rPr>
      <w:color w:val="0000FF"/>
      <w:u w:val="single"/>
    </w:rPr>
  </w:style>
  <w:style w:type="character" w:customStyle="1" w:styleId="mw-headline">
    <w:name w:val="mw-headline"/>
    <w:basedOn w:val="DefaultParagraphFont"/>
    <w:rsid w:val="006144DE"/>
  </w:style>
  <w:style w:type="character" w:customStyle="1" w:styleId="hps">
    <w:name w:val="hps"/>
    <w:basedOn w:val="DefaultParagraphFont"/>
    <w:rsid w:val="006144DE"/>
  </w:style>
  <w:style w:type="character" w:customStyle="1" w:styleId="atn">
    <w:name w:val="atn"/>
    <w:basedOn w:val="DefaultParagraphFont"/>
    <w:rsid w:val="006144DE"/>
  </w:style>
  <w:style w:type="paragraph" w:styleId="Header">
    <w:name w:val="header"/>
    <w:basedOn w:val="Normal"/>
    <w:link w:val="HeaderChar"/>
    <w:uiPriority w:val="99"/>
    <w:semiHidden/>
    <w:rsid w:val="006144D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val="sr-Latn-BA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144DE"/>
    <w:rPr>
      <w:rFonts w:ascii="Calibri" w:eastAsia="Calibri" w:hAnsi="Calibri" w:cs="Calibri"/>
      <w:lang w:val="sr-Latn-BA"/>
    </w:rPr>
  </w:style>
  <w:style w:type="paragraph" w:styleId="Footer">
    <w:name w:val="footer"/>
    <w:basedOn w:val="Normal"/>
    <w:link w:val="FooterChar"/>
    <w:uiPriority w:val="99"/>
    <w:rsid w:val="006144D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val="sr-Latn-BA"/>
    </w:rPr>
  </w:style>
  <w:style w:type="character" w:customStyle="1" w:styleId="FooterChar">
    <w:name w:val="Footer Char"/>
    <w:basedOn w:val="DefaultParagraphFont"/>
    <w:link w:val="Footer"/>
    <w:uiPriority w:val="99"/>
    <w:rsid w:val="006144DE"/>
    <w:rPr>
      <w:rFonts w:ascii="Calibri" w:eastAsia="Calibri" w:hAnsi="Calibri" w:cs="Calibri"/>
      <w:lang w:val="sr-Latn-BA"/>
    </w:rPr>
  </w:style>
  <w:style w:type="paragraph" w:styleId="TOC1">
    <w:name w:val="toc 1"/>
    <w:basedOn w:val="Normal"/>
    <w:next w:val="Normal"/>
    <w:autoRedefine/>
    <w:uiPriority w:val="39"/>
    <w:rsid w:val="006144DE"/>
    <w:pPr>
      <w:spacing w:after="100"/>
    </w:pPr>
    <w:rPr>
      <w:rFonts w:ascii="Calibri" w:eastAsia="Calibri" w:hAnsi="Calibri" w:cs="Calibri"/>
      <w:lang w:val="sr-Latn-BA"/>
    </w:rPr>
  </w:style>
  <w:style w:type="paragraph" w:styleId="TOC2">
    <w:name w:val="toc 2"/>
    <w:basedOn w:val="Normal"/>
    <w:next w:val="Normal"/>
    <w:autoRedefine/>
    <w:uiPriority w:val="39"/>
    <w:rsid w:val="006144DE"/>
    <w:pPr>
      <w:spacing w:after="100"/>
      <w:ind w:left="220"/>
    </w:pPr>
    <w:rPr>
      <w:rFonts w:ascii="Calibri" w:eastAsia="Calibri" w:hAnsi="Calibri" w:cs="Calibri"/>
      <w:lang w:val="sr-Latn-BA"/>
    </w:rPr>
  </w:style>
  <w:style w:type="paragraph" w:styleId="TOC3">
    <w:name w:val="toc 3"/>
    <w:basedOn w:val="Normal"/>
    <w:next w:val="Normal"/>
    <w:autoRedefine/>
    <w:uiPriority w:val="39"/>
    <w:rsid w:val="006144DE"/>
    <w:pPr>
      <w:spacing w:after="100"/>
      <w:ind w:left="440"/>
    </w:pPr>
    <w:rPr>
      <w:rFonts w:ascii="Calibri" w:eastAsia="Calibri" w:hAnsi="Calibri" w:cs="Calibri"/>
      <w:lang w:val="sr-Latn-BA"/>
    </w:rPr>
  </w:style>
  <w:style w:type="paragraph" w:styleId="TOC4">
    <w:name w:val="toc 4"/>
    <w:basedOn w:val="Normal"/>
    <w:next w:val="Normal"/>
    <w:autoRedefine/>
    <w:uiPriority w:val="39"/>
    <w:rsid w:val="006144DE"/>
    <w:pPr>
      <w:spacing w:after="100"/>
      <w:ind w:left="660"/>
    </w:pPr>
    <w:rPr>
      <w:rFonts w:ascii="Calibri" w:eastAsia="Calibri" w:hAnsi="Calibri" w:cs="Calibri"/>
      <w:lang w:val="sr-Latn-BA"/>
    </w:rPr>
  </w:style>
  <w:style w:type="paragraph" w:styleId="TOC5">
    <w:name w:val="toc 5"/>
    <w:basedOn w:val="Normal"/>
    <w:next w:val="Normal"/>
    <w:autoRedefine/>
    <w:uiPriority w:val="39"/>
    <w:rsid w:val="006144DE"/>
    <w:pPr>
      <w:spacing w:after="100"/>
      <w:ind w:left="880"/>
    </w:pPr>
    <w:rPr>
      <w:rFonts w:ascii="Calibri" w:eastAsia="Calibri" w:hAnsi="Calibri" w:cs="Calibri"/>
      <w:lang w:val="sr-Latn-BA"/>
    </w:rPr>
  </w:style>
  <w:style w:type="paragraph" w:styleId="TOC6">
    <w:name w:val="toc 6"/>
    <w:basedOn w:val="Normal"/>
    <w:next w:val="Normal"/>
    <w:autoRedefine/>
    <w:uiPriority w:val="39"/>
    <w:rsid w:val="006144DE"/>
    <w:pPr>
      <w:spacing w:after="100"/>
      <w:ind w:left="1100"/>
    </w:pPr>
    <w:rPr>
      <w:rFonts w:ascii="Calibri" w:eastAsia="Calibri" w:hAnsi="Calibri" w:cs="Calibri"/>
      <w:lang w:val="sr-Latn-BA"/>
    </w:rPr>
  </w:style>
  <w:style w:type="character" w:customStyle="1" w:styleId="sep">
    <w:name w:val="sep"/>
    <w:basedOn w:val="DefaultParagraphFont"/>
    <w:rsid w:val="006144DE"/>
  </w:style>
  <w:style w:type="paragraph" w:customStyle="1" w:styleId="ListaOznaena">
    <w:name w:val="Lista Označena"/>
    <w:basedOn w:val="Normal"/>
    <w:rsid w:val="006144DE"/>
    <w:pPr>
      <w:numPr>
        <w:ilvl w:val="1"/>
        <w:numId w:val="1"/>
      </w:numPr>
      <w:spacing w:after="0" w:line="240" w:lineRule="auto"/>
    </w:pPr>
    <w:rPr>
      <w:rFonts w:ascii="Lucida Sans Unicode" w:eastAsia="Times New Roman" w:hAnsi="Lucida Sans Unicode" w:cs="Lucida Sans Unicode"/>
      <w:lang w:val="hr-HR"/>
    </w:rPr>
  </w:style>
  <w:style w:type="paragraph" w:styleId="BodyText3">
    <w:name w:val="Body Text 3"/>
    <w:basedOn w:val="Normal"/>
    <w:link w:val="BodyText3Char"/>
    <w:semiHidden/>
    <w:rsid w:val="006144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BodyText3Char">
    <w:name w:val="Body Text 3 Char"/>
    <w:basedOn w:val="DefaultParagraphFont"/>
    <w:link w:val="BodyText3"/>
    <w:semiHidden/>
    <w:rsid w:val="006144DE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OC7">
    <w:name w:val="toc 7"/>
    <w:basedOn w:val="Normal"/>
    <w:next w:val="Normal"/>
    <w:autoRedefine/>
    <w:uiPriority w:val="39"/>
    <w:rsid w:val="006144DE"/>
    <w:pPr>
      <w:spacing w:after="100"/>
      <w:ind w:left="1320"/>
    </w:pPr>
    <w:rPr>
      <w:rFonts w:ascii="Calibri" w:eastAsia="Times New Roman" w:hAnsi="Calibri" w:cs="Calibri"/>
      <w:lang w:val="sr-Latn-BA" w:eastAsia="sr-Latn-BA"/>
    </w:rPr>
  </w:style>
  <w:style w:type="paragraph" w:styleId="TOC8">
    <w:name w:val="toc 8"/>
    <w:basedOn w:val="Normal"/>
    <w:next w:val="Normal"/>
    <w:autoRedefine/>
    <w:uiPriority w:val="39"/>
    <w:rsid w:val="006144DE"/>
    <w:pPr>
      <w:spacing w:after="100"/>
      <w:ind w:left="1540"/>
    </w:pPr>
    <w:rPr>
      <w:rFonts w:ascii="Calibri" w:eastAsia="Times New Roman" w:hAnsi="Calibri" w:cs="Calibri"/>
      <w:lang w:val="sr-Latn-BA" w:eastAsia="sr-Latn-BA"/>
    </w:rPr>
  </w:style>
  <w:style w:type="paragraph" w:styleId="TOC9">
    <w:name w:val="toc 9"/>
    <w:basedOn w:val="Normal"/>
    <w:next w:val="Normal"/>
    <w:autoRedefine/>
    <w:uiPriority w:val="39"/>
    <w:rsid w:val="006144DE"/>
    <w:pPr>
      <w:spacing w:after="100"/>
      <w:ind w:left="1760"/>
    </w:pPr>
    <w:rPr>
      <w:rFonts w:ascii="Calibri" w:eastAsia="Times New Roman" w:hAnsi="Calibri" w:cs="Calibri"/>
      <w:lang w:val="sr-Latn-BA" w:eastAsia="sr-Latn-BA"/>
    </w:rPr>
  </w:style>
  <w:style w:type="paragraph" w:styleId="HTMLPreformatted">
    <w:name w:val="HTML Preformatted"/>
    <w:basedOn w:val="Normal"/>
    <w:link w:val="HTMLPreformattedChar"/>
    <w:uiPriority w:val="99"/>
    <w:rsid w:val="006144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sr-Latn-BA" w:eastAsia="sr-Latn-B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144DE"/>
    <w:rPr>
      <w:rFonts w:ascii="Courier New" w:eastAsia="Times New Roman" w:hAnsi="Courier New" w:cs="Courier New"/>
      <w:sz w:val="20"/>
      <w:szCs w:val="20"/>
      <w:lang w:val="sr-Latn-BA" w:eastAsia="sr-Latn-BA"/>
    </w:rPr>
  </w:style>
  <w:style w:type="paragraph" w:styleId="CommentText">
    <w:name w:val="annotation text"/>
    <w:basedOn w:val="Normal"/>
    <w:link w:val="CommentTextChar"/>
    <w:uiPriority w:val="99"/>
    <w:semiHidden/>
    <w:rsid w:val="006144DE"/>
    <w:rPr>
      <w:rFonts w:ascii="Calibri" w:eastAsia="Calibri" w:hAnsi="Calibri" w:cs="Calibri"/>
      <w:sz w:val="20"/>
      <w:szCs w:val="20"/>
      <w:lang w:val="sr-Latn-B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44DE"/>
    <w:rPr>
      <w:rFonts w:ascii="Calibri" w:eastAsia="Calibri" w:hAnsi="Calibri" w:cs="Calibri"/>
      <w:sz w:val="20"/>
      <w:szCs w:val="20"/>
      <w:lang w:val="sr-Latn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144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4DE"/>
    <w:rPr>
      <w:rFonts w:ascii="Calibri" w:eastAsia="Calibri" w:hAnsi="Calibri" w:cs="Calibri"/>
      <w:b/>
      <w:bCs/>
      <w:sz w:val="20"/>
      <w:szCs w:val="20"/>
      <w:lang w:val="sr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43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43C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343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43C"/>
    <w:pPr>
      <w:numPr>
        <w:ilvl w:val="1"/>
      </w:numPr>
      <w:jc w:val="center"/>
    </w:pPr>
    <w:rPr>
      <w:color w:val="335B74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43C"/>
    <w:rPr>
      <w:color w:val="335B74" w:themeColor="text2"/>
      <w:sz w:val="28"/>
      <w:szCs w:val="28"/>
    </w:rPr>
  </w:style>
  <w:style w:type="paragraph" w:styleId="NoSpacing">
    <w:name w:val="No Spacing"/>
    <w:uiPriority w:val="1"/>
    <w:qFormat/>
    <w:rsid w:val="00FB343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B343C"/>
    <w:pPr>
      <w:spacing w:before="160"/>
      <w:ind w:left="720" w:right="720"/>
      <w:jc w:val="center"/>
    </w:pPr>
    <w:rPr>
      <w:i/>
      <w:iCs/>
      <w:color w:val="1D99A0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B343C"/>
    <w:rPr>
      <w:i/>
      <w:iCs/>
      <w:color w:val="1D99A0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43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1481AB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43C"/>
    <w:rPr>
      <w:rFonts w:asciiTheme="majorHAnsi" w:eastAsiaTheme="majorEastAsia" w:hAnsiTheme="majorHAnsi" w:cstheme="majorBidi"/>
      <w:caps/>
      <w:color w:val="1481AB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B343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B343C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B343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B343C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FB343C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B343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E92AD-A2B4-4099-9BA5-AE7949BCD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Author</cp:lastModifiedBy>
  <cp:revision>2</cp:revision>
  <dcterms:created xsi:type="dcterms:W3CDTF">2026-10-02T11:09:00Z</dcterms:created>
  <dcterms:modified xsi:type="dcterms:W3CDTF">2026-10-02T11:09:00Z</dcterms:modified>
</cp:coreProperties>
</file>